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19EE" w14:textId="77777777" w:rsidR="006D6E8B" w:rsidRDefault="006D6E8B" w:rsidP="006D6E8B">
      <w:pPr>
        <w:rPr>
          <w:rFonts w:asciiTheme="minorHAnsi" w:hAnsiTheme="minorHAnsi"/>
          <w:b/>
          <w:color w:val="FFC000" w:themeColor="accent4"/>
        </w:rPr>
      </w:pPr>
    </w:p>
    <w:p w14:paraId="0F8D93C2" w14:textId="77777777" w:rsidR="006D6E8B" w:rsidRDefault="006D6E8B" w:rsidP="006D6E8B">
      <w:pPr>
        <w:rPr>
          <w:rFonts w:asciiTheme="minorHAnsi" w:hAnsiTheme="minorHAnsi"/>
          <w:b/>
          <w:color w:val="FFC000" w:themeColor="accent4"/>
        </w:rPr>
      </w:pPr>
    </w:p>
    <w:p w14:paraId="456A3A37" w14:textId="77777777" w:rsidR="006D6E8B" w:rsidRDefault="006D6E8B" w:rsidP="006D6E8B">
      <w:pPr>
        <w:rPr>
          <w:rFonts w:asciiTheme="minorHAnsi" w:hAnsiTheme="minorHAnsi"/>
          <w:b/>
          <w:color w:val="FFC000" w:themeColor="accent4"/>
        </w:rPr>
      </w:pPr>
    </w:p>
    <w:p w14:paraId="1748276D" w14:textId="77777777" w:rsidR="006D6E8B" w:rsidRDefault="006D6E8B" w:rsidP="006D6E8B">
      <w:pPr>
        <w:jc w:val="center"/>
        <w:rPr>
          <w:rFonts w:asciiTheme="minorHAnsi" w:hAnsiTheme="minorHAnsi"/>
          <w:b/>
          <w:color w:val="000000" w:themeColor="text1"/>
        </w:rPr>
      </w:pPr>
      <w:r w:rsidRPr="00164B80">
        <w:rPr>
          <w:rFonts w:asciiTheme="minorHAnsi" w:hAnsiTheme="minorHAnsi"/>
          <w:b/>
          <w:color w:val="000000" w:themeColor="text1"/>
        </w:rPr>
        <w:t>RESOLUTION SETTING FORTH THE CITY OF CAMDEN’S COMMITMENT TO BUILDING A CULTURE OF HEALTH</w:t>
      </w:r>
    </w:p>
    <w:p w14:paraId="461D3319" w14:textId="77777777" w:rsidR="006D6E8B" w:rsidRDefault="006D6E8B" w:rsidP="006D6E8B">
      <w:pPr>
        <w:rPr>
          <w:rFonts w:asciiTheme="minorHAnsi" w:hAnsiTheme="minorHAnsi"/>
          <w:b/>
          <w:color w:val="000000" w:themeColor="text1"/>
        </w:rPr>
      </w:pPr>
    </w:p>
    <w:p w14:paraId="4CC30108" w14:textId="3FFC26DD" w:rsidR="000339C3" w:rsidRPr="000339C3" w:rsidRDefault="006D6E8B" w:rsidP="006D6E8B">
      <w:pPr>
        <w:rPr>
          <w:rFonts w:asciiTheme="minorHAnsi" w:hAnsiTheme="minorHAnsi"/>
          <w:color w:val="000000" w:themeColor="text1"/>
        </w:rPr>
      </w:pPr>
      <w:r w:rsidRPr="000339C3">
        <w:rPr>
          <w:rFonts w:asciiTheme="minorHAnsi" w:hAnsiTheme="minorHAnsi"/>
          <w:b/>
          <w:color w:val="000000" w:themeColor="text1"/>
        </w:rPr>
        <w:t>WHERE AS</w:t>
      </w:r>
      <w:r w:rsidRPr="000339C3">
        <w:rPr>
          <w:rFonts w:asciiTheme="minorHAnsi" w:hAnsiTheme="minorHAnsi"/>
          <w:color w:val="000000" w:themeColor="text1"/>
        </w:rPr>
        <w:t xml:space="preserve">, </w:t>
      </w:r>
      <w:r w:rsidR="000339C3" w:rsidRPr="000339C3">
        <w:rPr>
          <w:rFonts w:asciiTheme="minorHAnsi" w:hAnsiTheme="minorHAnsi"/>
          <w:color w:val="000000" w:themeColor="text1"/>
        </w:rPr>
        <w:t xml:space="preserve">the City of Camden has demonstrated a sustained commitment to improving the lives of all Camden residents; </w:t>
      </w:r>
    </w:p>
    <w:p w14:paraId="1DF0F538" w14:textId="77777777" w:rsidR="000339C3" w:rsidRPr="000339C3" w:rsidRDefault="000339C3" w:rsidP="006D6E8B">
      <w:pPr>
        <w:rPr>
          <w:rFonts w:asciiTheme="minorHAnsi" w:hAnsiTheme="minorHAnsi"/>
          <w:color w:val="000000" w:themeColor="text1"/>
        </w:rPr>
      </w:pPr>
    </w:p>
    <w:p w14:paraId="476BCBB5" w14:textId="54954346" w:rsidR="000339C3" w:rsidRDefault="000339C3" w:rsidP="006D6E8B">
      <w:pPr>
        <w:rPr>
          <w:rFonts w:asciiTheme="minorHAnsi" w:hAnsiTheme="minorHAnsi"/>
          <w:color w:val="000000" w:themeColor="text1"/>
        </w:rPr>
      </w:pPr>
      <w:r w:rsidRPr="000339C3">
        <w:rPr>
          <w:rFonts w:asciiTheme="minorHAnsi" w:hAnsiTheme="minorHAnsi"/>
          <w:b/>
          <w:color w:val="000000" w:themeColor="text1"/>
        </w:rPr>
        <w:t>WHERE AS</w:t>
      </w:r>
      <w:r w:rsidRPr="000339C3">
        <w:rPr>
          <w:rFonts w:asciiTheme="minorHAnsi" w:hAnsiTheme="minorHAnsi"/>
          <w:color w:val="000000" w:themeColor="text1"/>
        </w:rPr>
        <w:t>, the City of Camden has high aspirations and standards for its residents and is consistently seeking ways to improve their lives and ensure to maintain an environment that protects their health;</w:t>
      </w:r>
      <w:r>
        <w:rPr>
          <w:rFonts w:asciiTheme="minorHAnsi" w:hAnsiTheme="minorHAnsi"/>
          <w:color w:val="000000" w:themeColor="text1"/>
        </w:rPr>
        <w:t xml:space="preserve"> </w:t>
      </w:r>
    </w:p>
    <w:p w14:paraId="03BDA85F" w14:textId="77777777" w:rsidR="000339C3" w:rsidRDefault="000339C3" w:rsidP="006D6E8B">
      <w:pPr>
        <w:rPr>
          <w:rFonts w:asciiTheme="minorHAnsi" w:hAnsiTheme="minorHAnsi"/>
          <w:color w:val="000000" w:themeColor="text1"/>
        </w:rPr>
      </w:pPr>
    </w:p>
    <w:p w14:paraId="693E3041" w14:textId="39033C63" w:rsidR="006D6E8B" w:rsidRPr="007A62C8" w:rsidRDefault="000339C3" w:rsidP="006D6E8B">
      <w:pPr>
        <w:rPr>
          <w:rFonts w:asciiTheme="minorHAnsi" w:hAnsiTheme="minorHAnsi"/>
          <w:color w:val="000000" w:themeColor="text1"/>
        </w:rPr>
      </w:pPr>
      <w:r w:rsidRPr="007A62C8">
        <w:rPr>
          <w:rFonts w:asciiTheme="minorHAnsi" w:hAnsiTheme="minorHAnsi"/>
          <w:b/>
          <w:color w:val="000000" w:themeColor="text1"/>
        </w:rPr>
        <w:t>WHERE AS</w:t>
      </w:r>
      <w:r w:rsidRPr="007A62C8">
        <w:rPr>
          <w:rFonts w:asciiTheme="minorHAnsi" w:hAnsiTheme="minorHAnsi"/>
          <w:color w:val="000000" w:themeColor="text1"/>
        </w:rPr>
        <w:t xml:space="preserve">, </w:t>
      </w:r>
      <w:r w:rsidR="006D6E8B" w:rsidRPr="007A62C8">
        <w:rPr>
          <w:rFonts w:asciiTheme="minorHAnsi" w:hAnsiTheme="minorHAnsi"/>
          <w:color w:val="000000" w:themeColor="text1"/>
        </w:rPr>
        <w:t xml:space="preserve">over </w:t>
      </w:r>
      <w:r w:rsidR="006D6E8B" w:rsidRPr="00BF5EA0">
        <w:rPr>
          <w:rFonts w:asciiTheme="minorHAnsi" w:hAnsiTheme="minorHAnsi"/>
          <w:color w:val="000000" w:themeColor="text1"/>
        </w:rPr>
        <w:t>sixty percent of obese adults</w:t>
      </w:r>
      <w:r w:rsidR="006D6E8B" w:rsidRPr="007A62C8">
        <w:rPr>
          <w:rFonts w:asciiTheme="minorHAnsi" w:hAnsiTheme="minorHAnsi"/>
          <w:color w:val="000000" w:themeColor="text1"/>
        </w:rPr>
        <w:t xml:space="preserve"> have type 2 diabetes, high blood cholesterol, high blood pressure, and/or other related conditions</w:t>
      </w:r>
      <w:r w:rsidR="006D6E8B">
        <w:rPr>
          <w:rFonts w:asciiTheme="minorHAnsi" w:hAnsiTheme="minorHAnsi"/>
          <w:color w:val="000000" w:themeColor="text1"/>
          <w:vertAlign w:val="subscript"/>
        </w:rPr>
        <w:t xml:space="preserve"> 6</w:t>
      </w:r>
      <w:r w:rsidR="006D6E8B" w:rsidRPr="007A62C8">
        <w:rPr>
          <w:rFonts w:asciiTheme="minorHAnsi" w:hAnsiTheme="minorHAnsi"/>
          <w:color w:val="000000" w:themeColor="text1"/>
        </w:rPr>
        <w:t xml:space="preserve">; and </w:t>
      </w:r>
    </w:p>
    <w:p w14:paraId="11CE1637" w14:textId="77777777" w:rsidR="006D6E8B" w:rsidRPr="00431E44" w:rsidRDefault="006D6E8B" w:rsidP="006D6E8B">
      <w:pPr>
        <w:rPr>
          <w:rFonts w:asciiTheme="minorHAnsi" w:hAnsiTheme="minorHAnsi"/>
        </w:rPr>
      </w:pPr>
    </w:p>
    <w:p w14:paraId="2A370556" w14:textId="582482B1" w:rsidR="006D6E8B" w:rsidRPr="003517F9" w:rsidRDefault="006D6E8B" w:rsidP="006D6E8B">
      <w:pPr>
        <w:rPr>
          <w:rFonts w:asciiTheme="minorHAnsi" w:hAnsiTheme="minorHAnsi"/>
        </w:rPr>
      </w:pPr>
      <w:r w:rsidRPr="007A194E">
        <w:rPr>
          <w:rFonts w:asciiTheme="minorHAnsi" w:hAnsiTheme="minorHAnsi"/>
          <w:b/>
        </w:rPr>
        <w:t>WHERE</w:t>
      </w:r>
      <w:r w:rsidR="000339C3">
        <w:rPr>
          <w:rFonts w:asciiTheme="minorHAnsi" w:hAnsiTheme="minorHAnsi"/>
          <w:b/>
        </w:rPr>
        <w:t xml:space="preserve"> </w:t>
      </w:r>
      <w:r w:rsidRPr="007A194E">
        <w:rPr>
          <w:rFonts w:asciiTheme="minorHAnsi" w:hAnsiTheme="minorHAnsi"/>
          <w:b/>
        </w:rPr>
        <w:t>AS</w:t>
      </w:r>
      <w:r w:rsidRPr="007A194E">
        <w:rPr>
          <w:rFonts w:asciiTheme="minorHAnsi" w:hAnsiTheme="minorHAnsi"/>
        </w:rPr>
        <w:t xml:space="preserve">, </w:t>
      </w:r>
      <w:r w:rsidR="00BF5EA0" w:rsidRPr="00BF5EA0">
        <w:rPr>
          <w:rFonts w:asciiTheme="minorHAnsi" w:hAnsiTheme="minorHAnsi"/>
        </w:rPr>
        <w:t>39% of children between the ages of 3 and 18 in Camden are</w:t>
      </w:r>
      <w:r w:rsidRPr="00BF5EA0">
        <w:rPr>
          <w:rFonts w:asciiTheme="minorHAnsi" w:hAnsiTheme="minorHAnsi"/>
        </w:rPr>
        <w:t xml:space="preserve"> overweight</w:t>
      </w:r>
      <w:r w:rsidR="00BF5EA0" w:rsidRPr="00BF5EA0">
        <w:rPr>
          <w:rFonts w:asciiTheme="minorHAnsi" w:hAnsiTheme="minorHAnsi"/>
        </w:rPr>
        <w:t xml:space="preserve"> or obese</w:t>
      </w:r>
      <w:r w:rsidRPr="00BF5EA0">
        <w:rPr>
          <w:rFonts w:asciiTheme="minorHAnsi" w:hAnsiTheme="minorHAnsi"/>
        </w:rPr>
        <w:t xml:space="preserve"> </w:t>
      </w:r>
      <w:r w:rsidR="00BF5EA0" w:rsidRPr="00BF5EA0">
        <w:rPr>
          <w:rFonts w:asciiTheme="minorHAnsi" w:hAnsiTheme="minorHAnsi"/>
          <w:vertAlign w:val="subscript"/>
        </w:rPr>
        <w:t>1</w:t>
      </w:r>
      <w:r w:rsidR="00BF5EA0">
        <w:rPr>
          <w:rFonts w:asciiTheme="minorHAnsi" w:hAnsiTheme="minorHAnsi"/>
          <w:vertAlign w:val="subscript"/>
        </w:rPr>
        <w:t>4</w:t>
      </w:r>
      <w:r w:rsidR="00BF5EA0" w:rsidRPr="00BF5EA0">
        <w:rPr>
          <w:rFonts w:asciiTheme="minorHAnsi" w:hAnsiTheme="minorHAnsi"/>
          <w:b/>
        </w:rPr>
        <w:t xml:space="preserve"> </w:t>
      </w:r>
      <w:r w:rsidRPr="00BF5EA0">
        <w:rPr>
          <w:rFonts w:asciiTheme="minorHAnsi" w:hAnsiTheme="minorHAnsi"/>
        </w:rPr>
        <w:t>and</w:t>
      </w:r>
    </w:p>
    <w:p w14:paraId="1BD4876A" w14:textId="77777777" w:rsidR="006D6E8B" w:rsidRPr="00431E44" w:rsidRDefault="006D6E8B" w:rsidP="006D6E8B">
      <w:pPr>
        <w:rPr>
          <w:rFonts w:asciiTheme="minorHAnsi" w:hAnsiTheme="minorHAnsi"/>
        </w:rPr>
      </w:pPr>
    </w:p>
    <w:p w14:paraId="435BB8D0" w14:textId="0BB69533" w:rsidR="006D6E8B" w:rsidRPr="00736429" w:rsidRDefault="006D6E8B" w:rsidP="006D6E8B">
      <w:pPr>
        <w:rPr>
          <w:rFonts w:asciiTheme="minorHAnsi" w:hAnsiTheme="minorHAnsi"/>
          <w:color w:val="000000" w:themeColor="text1"/>
          <w:vertAlign w:val="subscript"/>
        </w:rPr>
      </w:pPr>
      <w:r w:rsidRPr="007A62C8">
        <w:rPr>
          <w:rFonts w:asciiTheme="minorHAnsi" w:hAnsiTheme="minorHAnsi"/>
          <w:b/>
          <w:color w:val="000000" w:themeColor="text1"/>
        </w:rPr>
        <w:t>WHERE</w:t>
      </w:r>
      <w:r w:rsidR="000339C3">
        <w:rPr>
          <w:rFonts w:asciiTheme="minorHAnsi" w:hAnsiTheme="minorHAnsi"/>
          <w:b/>
          <w:color w:val="000000" w:themeColor="text1"/>
        </w:rPr>
        <w:t xml:space="preserve"> </w:t>
      </w:r>
      <w:r w:rsidRPr="007A62C8">
        <w:rPr>
          <w:rFonts w:asciiTheme="minorHAnsi" w:hAnsiTheme="minorHAnsi"/>
          <w:b/>
          <w:color w:val="000000" w:themeColor="text1"/>
        </w:rPr>
        <w:t>AS</w:t>
      </w:r>
      <w:r w:rsidRPr="007A62C8">
        <w:rPr>
          <w:rFonts w:asciiTheme="minorHAnsi" w:hAnsiTheme="minorHAnsi"/>
          <w:color w:val="000000" w:themeColor="text1"/>
        </w:rPr>
        <w:t>, more children are being diagnosed with diseases linked to overweight and obesity previously seen only in adults, such as Type 2 diabetes and heart disease</w:t>
      </w:r>
      <w:r>
        <w:rPr>
          <w:rFonts w:asciiTheme="minorHAnsi" w:hAnsiTheme="minorHAnsi"/>
          <w:color w:val="000000" w:themeColor="text1"/>
        </w:rPr>
        <w:t xml:space="preserve"> </w:t>
      </w:r>
      <w:r>
        <w:rPr>
          <w:rFonts w:asciiTheme="minorHAnsi" w:hAnsiTheme="minorHAnsi"/>
          <w:color w:val="000000" w:themeColor="text1"/>
          <w:vertAlign w:val="subscript"/>
        </w:rPr>
        <w:t>2</w:t>
      </w:r>
      <w:r w:rsidRPr="007A62C8">
        <w:rPr>
          <w:rFonts w:asciiTheme="minorHAnsi" w:hAnsiTheme="minorHAnsi"/>
          <w:color w:val="000000" w:themeColor="text1"/>
        </w:rPr>
        <w:t>; and</w:t>
      </w:r>
      <w:r>
        <w:rPr>
          <w:rFonts w:asciiTheme="minorHAnsi" w:hAnsiTheme="minorHAnsi"/>
          <w:color w:val="000000" w:themeColor="text1"/>
          <w:vertAlign w:val="subscript"/>
        </w:rPr>
        <w:t xml:space="preserve"> </w:t>
      </w:r>
    </w:p>
    <w:p w14:paraId="30CDCC18" w14:textId="77777777" w:rsidR="006D6E8B" w:rsidRDefault="006D6E8B" w:rsidP="006D6E8B">
      <w:pPr>
        <w:rPr>
          <w:rFonts w:asciiTheme="minorHAnsi" w:hAnsiTheme="minorHAnsi"/>
        </w:rPr>
      </w:pPr>
    </w:p>
    <w:p w14:paraId="621B87F6" w14:textId="76867148" w:rsidR="006D6E8B" w:rsidRPr="00736429" w:rsidRDefault="006D6E8B" w:rsidP="006D6E8B">
      <w:pPr>
        <w:rPr>
          <w:rFonts w:asciiTheme="minorHAnsi" w:hAnsiTheme="minorHAnsi"/>
          <w:color w:val="000000" w:themeColor="text1"/>
          <w:vertAlign w:val="subscript"/>
        </w:rPr>
      </w:pPr>
      <w:r w:rsidRPr="00F92608">
        <w:rPr>
          <w:rFonts w:asciiTheme="minorHAnsi" w:hAnsiTheme="minorHAnsi"/>
          <w:b/>
          <w:color w:val="000000" w:themeColor="text1"/>
        </w:rPr>
        <w:t>WHERE</w:t>
      </w:r>
      <w:r w:rsidR="000339C3">
        <w:rPr>
          <w:rFonts w:asciiTheme="minorHAnsi" w:hAnsiTheme="minorHAnsi"/>
          <w:b/>
          <w:color w:val="000000" w:themeColor="text1"/>
        </w:rPr>
        <w:t xml:space="preserve"> </w:t>
      </w:r>
      <w:r w:rsidRPr="00F92608">
        <w:rPr>
          <w:rFonts w:asciiTheme="minorHAnsi" w:hAnsiTheme="minorHAnsi"/>
          <w:b/>
          <w:color w:val="000000" w:themeColor="text1"/>
        </w:rPr>
        <w:t>AS</w:t>
      </w:r>
      <w:r w:rsidRPr="00F92608">
        <w:rPr>
          <w:rFonts w:asciiTheme="minorHAnsi" w:hAnsiTheme="minorHAnsi"/>
          <w:color w:val="000000" w:themeColor="text1"/>
        </w:rPr>
        <w:t>, childhood obesity has more than doubled in children and quadrupled in adolescents in the past 30 years</w:t>
      </w:r>
      <w:r w:rsidRPr="00BF5EA0">
        <w:rPr>
          <w:rFonts w:asciiTheme="minorHAnsi" w:hAnsiTheme="minorHAnsi"/>
          <w:color w:val="000000" w:themeColor="text1"/>
        </w:rPr>
        <w:t>; in 2012,</w:t>
      </w:r>
      <w:r w:rsidRPr="00F92608">
        <w:rPr>
          <w:rFonts w:asciiTheme="minorHAnsi" w:hAnsiTheme="minorHAnsi"/>
          <w:color w:val="000000" w:themeColor="text1"/>
        </w:rPr>
        <w:t xml:space="preserve"> more than one-third of children and adolescent</w:t>
      </w:r>
      <w:r>
        <w:rPr>
          <w:rFonts w:asciiTheme="minorHAnsi" w:hAnsiTheme="minorHAnsi"/>
          <w:color w:val="000000" w:themeColor="text1"/>
        </w:rPr>
        <w:t xml:space="preserve">s were overweight or obese </w:t>
      </w:r>
      <w:r>
        <w:rPr>
          <w:rFonts w:asciiTheme="minorHAnsi" w:hAnsiTheme="minorHAnsi"/>
          <w:color w:val="000000" w:themeColor="text1"/>
          <w:vertAlign w:val="subscript"/>
        </w:rPr>
        <w:t>7,8</w:t>
      </w:r>
      <w:r>
        <w:rPr>
          <w:rFonts w:asciiTheme="minorHAnsi" w:hAnsiTheme="minorHAnsi"/>
          <w:color w:val="000000" w:themeColor="text1"/>
        </w:rPr>
        <w:t>; and</w:t>
      </w:r>
      <w:r>
        <w:rPr>
          <w:rFonts w:asciiTheme="minorHAnsi" w:hAnsiTheme="minorHAnsi"/>
          <w:color w:val="000000" w:themeColor="text1"/>
          <w:vertAlign w:val="subscript"/>
        </w:rPr>
        <w:t xml:space="preserve"> </w:t>
      </w:r>
    </w:p>
    <w:p w14:paraId="553BE100" w14:textId="77777777" w:rsidR="006D6E8B" w:rsidRPr="00F92608" w:rsidRDefault="006D6E8B" w:rsidP="006D6E8B">
      <w:pPr>
        <w:rPr>
          <w:rFonts w:asciiTheme="minorHAnsi" w:hAnsiTheme="minorHAnsi"/>
          <w:color w:val="000000" w:themeColor="text1"/>
        </w:rPr>
      </w:pPr>
    </w:p>
    <w:p w14:paraId="7533A7C5" w14:textId="1EB4DA5C" w:rsidR="006D6E8B" w:rsidRPr="00736429" w:rsidRDefault="006D6E8B" w:rsidP="006D6E8B">
      <w:pPr>
        <w:rPr>
          <w:rFonts w:asciiTheme="minorHAnsi" w:hAnsiTheme="minorHAnsi"/>
          <w:color w:val="000000" w:themeColor="text1"/>
          <w:vertAlign w:val="subscript"/>
        </w:rPr>
      </w:pPr>
      <w:r w:rsidRPr="00F92608">
        <w:rPr>
          <w:rFonts w:asciiTheme="minorHAnsi" w:hAnsiTheme="minorHAnsi"/>
          <w:b/>
          <w:color w:val="000000" w:themeColor="text1"/>
        </w:rPr>
        <w:t>WHERE</w:t>
      </w:r>
      <w:r w:rsidR="000339C3">
        <w:rPr>
          <w:rFonts w:asciiTheme="minorHAnsi" w:hAnsiTheme="minorHAnsi"/>
          <w:b/>
          <w:color w:val="000000" w:themeColor="text1"/>
        </w:rPr>
        <w:t xml:space="preserve"> </w:t>
      </w:r>
      <w:r w:rsidRPr="00F92608">
        <w:rPr>
          <w:rFonts w:asciiTheme="minorHAnsi" w:hAnsiTheme="minorHAnsi"/>
          <w:b/>
          <w:color w:val="000000" w:themeColor="text1"/>
        </w:rPr>
        <w:t>AS</w:t>
      </w:r>
      <w:r w:rsidRPr="00F92608">
        <w:rPr>
          <w:rFonts w:asciiTheme="minorHAnsi" w:hAnsiTheme="minorHAnsi"/>
          <w:color w:val="000000" w:themeColor="text1"/>
        </w:rPr>
        <w:t>, children who are overweight are more likely to be obese as adults and adult obesity is associated with a variety of health problems</w:t>
      </w:r>
      <w:r>
        <w:rPr>
          <w:rFonts w:asciiTheme="minorHAnsi" w:hAnsiTheme="minorHAnsi"/>
          <w:color w:val="000000" w:themeColor="text1"/>
        </w:rPr>
        <w:t xml:space="preserve"> </w:t>
      </w:r>
      <w:r>
        <w:rPr>
          <w:rFonts w:asciiTheme="minorHAnsi" w:hAnsiTheme="minorHAnsi"/>
          <w:color w:val="000000" w:themeColor="text1"/>
          <w:vertAlign w:val="subscript"/>
        </w:rPr>
        <w:t>5, 9, 12, 13</w:t>
      </w:r>
      <w:r w:rsidRPr="00F92608">
        <w:rPr>
          <w:rFonts w:asciiTheme="minorHAnsi" w:hAnsiTheme="minorHAnsi"/>
          <w:color w:val="000000" w:themeColor="text1"/>
        </w:rPr>
        <w:t>; and</w:t>
      </w:r>
      <w:r>
        <w:rPr>
          <w:rFonts w:asciiTheme="minorHAnsi" w:hAnsiTheme="minorHAnsi"/>
          <w:color w:val="000000" w:themeColor="text1"/>
          <w:vertAlign w:val="subscript"/>
        </w:rPr>
        <w:t xml:space="preserve"> </w:t>
      </w:r>
    </w:p>
    <w:p w14:paraId="59B82A8C" w14:textId="77777777" w:rsidR="006D6E8B" w:rsidRPr="00431E44" w:rsidRDefault="006D6E8B" w:rsidP="006D6E8B">
      <w:pPr>
        <w:rPr>
          <w:rFonts w:asciiTheme="minorHAnsi" w:hAnsiTheme="minorHAnsi"/>
        </w:rPr>
      </w:pPr>
    </w:p>
    <w:p w14:paraId="094531FA" w14:textId="1B29B100" w:rsidR="006D6E8B" w:rsidRPr="00736429" w:rsidRDefault="006D6E8B" w:rsidP="006D6E8B">
      <w:pPr>
        <w:rPr>
          <w:rFonts w:asciiTheme="minorHAnsi" w:hAnsiTheme="minorHAnsi"/>
          <w:color w:val="000000" w:themeColor="text1"/>
          <w:vertAlign w:val="subscript"/>
        </w:rPr>
      </w:pPr>
      <w:r w:rsidRPr="007A62C8">
        <w:rPr>
          <w:rFonts w:asciiTheme="minorHAnsi" w:hAnsiTheme="minorHAnsi"/>
          <w:b/>
          <w:color w:val="000000" w:themeColor="text1"/>
        </w:rPr>
        <w:t>WHERE</w:t>
      </w:r>
      <w:r w:rsidR="000339C3">
        <w:rPr>
          <w:rFonts w:asciiTheme="minorHAnsi" w:hAnsiTheme="minorHAnsi"/>
          <w:b/>
          <w:color w:val="000000" w:themeColor="text1"/>
        </w:rPr>
        <w:t xml:space="preserve"> </w:t>
      </w:r>
      <w:r w:rsidRPr="007A62C8">
        <w:rPr>
          <w:rFonts w:asciiTheme="minorHAnsi" w:hAnsiTheme="minorHAnsi"/>
          <w:b/>
          <w:color w:val="000000" w:themeColor="text1"/>
        </w:rPr>
        <w:t>AS</w:t>
      </w:r>
      <w:r w:rsidRPr="007A62C8">
        <w:rPr>
          <w:rFonts w:asciiTheme="minorHAnsi" w:hAnsiTheme="minorHAnsi"/>
          <w:color w:val="000000" w:themeColor="text1"/>
        </w:rPr>
        <w:t>, the current generation of children are expected to have shorter lives than their parents due to the consequences of obesity</w:t>
      </w:r>
      <w:r>
        <w:rPr>
          <w:rFonts w:asciiTheme="minorHAnsi" w:hAnsiTheme="minorHAnsi"/>
          <w:color w:val="000000" w:themeColor="text1"/>
          <w:vertAlign w:val="subscript"/>
        </w:rPr>
        <w:t xml:space="preserve"> 1</w:t>
      </w:r>
      <w:r w:rsidRPr="007A62C8">
        <w:rPr>
          <w:rFonts w:asciiTheme="minorHAnsi" w:hAnsiTheme="minorHAnsi"/>
          <w:color w:val="000000" w:themeColor="text1"/>
        </w:rPr>
        <w:t>; and</w:t>
      </w:r>
      <w:r>
        <w:rPr>
          <w:rFonts w:asciiTheme="minorHAnsi" w:hAnsiTheme="minorHAnsi"/>
          <w:color w:val="000000" w:themeColor="text1"/>
          <w:vertAlign w:val="subscript"/>
        </w:rPr>
        <w:t xml:space="preserve"> </w:t>
      </w:r>
    </w:p>
    <w:p w14:paraId="3E9AF3A0" w14:textId="77777777" w:rsidR="006D6E8B" w:rsidRPr="00F92608" w:rsidRDefault="006D6E8B" w:rsidP="006D6E8B">
      <w:pPr>
        <w:rPr>
          <w:rFonts w:asciiTheme="minorHAnsi" w:hAnsiTheme="minorHAnsi"/>
          <w:color w:val="000000" w:themeColor="text1"/>
        </w:rPr>
      </w:pPr>
    </w:p>
    <w:p w14:paraId="5981169E" w14:textId="2977FB9B" w:rsidR="006D6E8B" w:rsidRPr="00736429" w:rsidRDefault="006D6E8B" w:rsidP="006D6E8B">
      <w:pPr>
        <w:rPr>
          <w:rFonts w:asciiTheme="minorHAnsi" w:hAnsiTheme="minorHAnsi"/>
          <w:color w:val="000000" w:themeColor="text1"/>
          <w:vertAlign w:val="subscript"/>
        </w:rPr>
      </w:pPr>
      <w:r w:rsidRPr="00F92608">
        <w:rPr>
          <w:rFonts w:asciiTheme="minorHAnsi" w:hAnsiTheme="minorHAnsi"/>
          <w:b/>
          <w:color w:val="000000" w:themeColor="text1"/>
        </w:rPr>
        <w:t>WHERE</w:t>
      </w:r>
      <w:r w:rsidR="000339C3">
        <w:rPr>
          <w:rFonts w:asciiTheme="minorHAnsi" w:hAnsiTheme="minorHAnsi"/>
          <w:b/>
          <w:color w:val="000000" w:themeColor="text1"/>
        </w:rPr>
        <w:t xml:space="preserve"> </w:t>
      </w:r>
      <w:r w:rsidRPr="00F92608">
        <w:rPr>
          <w:rFonts w:asciiTheme="minorHAnsi" w:hAnsiTheme="minorHAnsi"/>
          <w:b/>
          <w:color w:val="000000" w:themeColor="text1"/>
        </w:rPr>
        <w:t>AS</w:t>
      </w:r>
      <w:r w:rsidRPr="00F92608">
        <w:rPr>
          <w:rFonts w:asciiTheme="minorHAnsi" w:hAnsiTheme="minorHAnsi"/>
          <w:color w:val="000000" w:themeColor="text1"/>
        </w:rPr>
        <w:t>, diabetes and obesity continue to disproportionally affect children as well as low income communitie</w:t>
      </w:r>
      <w:r>
        <w:rPr>
          <w:rFonts w:asciiTheme="minorHAnsi" w:hAnsiTheme="minorHAnsi"/>
          <w:color w:val="000000" w:themeColor="text1"/>
        </w:rPr>
        <w:t>s and communities of color</w:t>
      </w:r>
      <w:r>
        <w:rPr>
          <w:rFonts w:asciiTheme="minorHAnsi" w:hAnsiTheme="minorHAnsi"/>
          <w:color w:val="000000" w:themeColor="text1"/>
          <w:vertAlign w:val="subscript"/>
        </w:rPr>
        <w:t xml:space="preserve"> 10, 11, 12</w:t>
      </w:r>
      <w:r>
        <w:rPr>
          <w:rFonts w:asciiTheme="minorHAnsi" w:hAnsiTheme="minorHAnsi"/>
          <w:color w:val="000000" w:themeColor="text1"/>
        </w:rPr>
        <w:t>; and</w:t>
      </w:r>
      <w:r>
        <w:rPr>
          <w:rFonts w:asciiTheme="minorHAnsi" w:hAnsiTheme="minorHAnsi"/>
          <w:color w:val="000000" w:themeColor="text1"/>
          <w:vertAlign w:val="subscript"/>
        </w:rPr>
        <w:t xml:space="preserve"> </w:t>
      </w:r>
    </w:p>
    <w:p w14:paraId="484D8EE7" w14:textId="77777777" w:rsidR="006D6E8B" w:rsidRPr="00431E44" w:rsidRDefault="006D6E8B" w:rsidP="006D6E8B">
      <w:pPr>
        <w:rPr>
          <w:rFonts w:asciiTheme="minorHAnsi" w:hAnsiTheme="minorHAnsi"/>
        </w:rPr>
      </w:pPr>
    </w:p>
    <w:p w14:paraId="62701626" w14:textId="7AFC4265" w:rsidR="006D6E8B" w:rsidRPr="001877F6" w:rsidRDefault="006D6E8B" w:rsidP="006D6E8B">
      <w:pPr>
        <w:rPr>
          <w:rFonts w:asciiTheme="minorHAnsi" w:hAnsiTheme="minorHAnsi"/>
          <w:color w:val="000000" w:themeColor="text1"/>
          <w:vertAlign w:val="subscript"/>
        </w:rPr>
      </w:pPr>
      <w:r w:rsidRPr="00787C1C">
        <w:rPr>
          <w:rFonts w:asciiTheme="minorHAnsi" w:hAnsiTheme="minorHAnsi"/>
          <w:b/>
          <w:color w:val="000000" w:themeColor="text1"/>
        </w:rPr>
        <w:t>WHERE</w:t>
      </w:r>
      <w:r w:rsidR="000339C3">
        <w:rPr>
          <w:rFonts w:asciiTheme="minorHAnsi" w:hAnsiTheme="minorHAnsi"/>
          <w:b/>
          <w:color w:val="000000" w:themeColor="text1"/>
        </w:rPr>
        <w:t xml:space="preserve"> </w:t>
      </w:r>
      <w:r w:rsidRPr="00787C1C">
        <w:rPr>
          <w:rFonts w:asciiTheme="minorHAnsi" w:hAnsiTheme="minorHAnsi"/>
          <w:b/>
          <w:color w:val="000000" w:themeColor="text1"/>
        </w:rPr>
        <w:t>AS</w:t>
      </w:r>
      <w:r w:rsidRPr="00787C1C">
        <w:rPr>
          <w:rFonts w:asciiTheme="minorHAnsi" w:hAnsiTheme="minorHAnsi"/>
          <w:color w:val="000000" w:themeColor="text1"/>
        </w:rPr>
        <w:t>, teens and adults who consume one or more sodas or sugar sweetened beverages per day are more likely to be overweight or obese</w:t>
      </w:r>
      <w:r>
        <w:rPr>
          <w:rFonts w:asciiTheme="minorHAnsi" w:hAnsiTheme="minorHAnsi"/>
          <w:color w:val="000000" w:themeColor="text1"/>
          <w:vertAlign w:val="subscript"/>
        </w:rPr>
        <w:t xml:space="preserve"> 5</w:t>
      </w:r>
      <w:r w:rsidRPr="00787C1C">
        <w:rPr>
          <w:rFonts w:asciiTheme="minorHAnsi" w:hAnsiTheme="minorHAnsi"/>
          <w:color w:val="000000" w:themeColor="text1"/>
        </w:rPr>
        <w:t>;</w:t>
      </w:r>
      <w:r>
        <w:rPr>
          <w:rFonts w:asciiTheme="minorHAnsi" w:hAnsiTheme="minorHAnsi"/>
          <w:color w:val="000000" w:themeColor="text1"/>
        </w:rPr>
        <w:t xml:space="preserve"> and </w:t>
      </w:r>
    </w:p>
    <w:p w14:paraId="010E8EAB" w14:textId="77777777" w:rsidR="006D6E8B" w:rsidRPr="00787C1C" w:rsidRDefault="006D6E8B" w:rsidP="006D6E8B">
      <w:pPr>
        <w:rPr>
          <w:rFonts w:asciiTheme="minorHAnsi" w:hAnsiTheme="minorHAnsi"/>
          <w:color w:val="000000" w:themeColor="text1"/>
        </w:rPr>
      </w:pPr>
    </w:p>
    <w:p w14:paraId="2683E7F3" w14:textId="3A8C1BC5" w:rsidR="006D6E8B" w:rsidRPr="001877F6" w:rsidRDefault="006D6E8B" w:rsidP="006D6E8B">
      <w:pPr>
        <w:rPr>
          <w:rFonts w:asciiTheme="minorHAnsi" w:hAnsiTheme="minorHAnsi"/>
          <w:color w:val="000000" w:themeColor="text1"/>
          <w:vertAlign w:val="subscript"/>
        </w:rPr>
      </w:pPr>
      <w:r w:rsidRPr="00787C1C">
        <w:rPr>
          <w:rFonts w:asciiTheme="minorHAnsi" w:hAnsiTheme="minorHAnsi"/>
          <w:b/>
          <w:color w:val="000000" w:themeColor="text1"/>
        </w:rPr>
        <w:t>WHERE</w:t>
      </w:r>
      <w:r w:rsidR="000339C3">
        <w:rPr>
          <w:rFonts w:asciiTheme="minorHAnsi" w:hAnsiTheme="minorHAnsi"/>
          <w:b/>
          <w:color w:val="000000" w:themeColor="text1"/>
        </w:rPr>
        <w:t xml:space="preserve"> </w:t>
      </w:r>
      <w:r w:rsidRPr="00787C1C">
        <w:rPr>
          <w:rFonts w:asciiTheme="minorHAnsi" w:hAnsiTheme="minorHAnsi"/>
          <w:b/>
          <w:color w:val="000000" w:themeColor="text1"/>
        </w:rPr>
        <w:t>AS</w:t>
      </w:r>
      <w:r w:rsidRPr="00787C1C">
        <w:rPr>
          <w:rFonts w:asciiTheme="minorHAnsi" w:hAnsiTheme="minorHAnsi"/>
          <w:color w:val="000000" w:themeColor="text1"/>
        </w:rPr>
        <w:t>, drinking one or two sugar-sweetened beverages a day increases the risk of developing typ</w:t>
      </w:r>
      <w:r>
        <w:rPr>
          <w:rFonts w:asciiTheme="minorHAnsi" w:hAnsiTheme="minorHAnsi"/>
          <w:color w:val="000000" w:themeColor="text1"/>
        </w:rPr>
        <w:t xml:space="preserve">e 2 diabetes by 26 percent </w:t>
      </w:r>
      <w:r>
        <w:rPr>
          <w:rFonts w:asciiTheme="minorHAnsi" w:hAnsiTheme="minorHAnsi"/>
          <w:color w:val="000000" w:themeColor="text1"/>
          <w:vertAlign w:val="subscript"/>
        </w:rPr>
        <w:t>4</w:t>
      </w:r>
      <w:r>
        <w:rPr>
          <w:rFonts w:asciiTheme="minorHAnsi" w:hAnsiTheme="minorHAnsi"/>
          <w:color w:val="000000" w:themeColor="text1"/>
        </w:rPr>
        <w:t>; and</w:t>
      </w:r>
      <w:r>
        <w:rPr>
          <w:rFonts w:asciiTheme="minorHAnsi" w:hAnsiTheme="minorHAnsi"/>
          <w:color w:val="000000" w:themeColor="text1"/>
          <w:vertAlign w:val="subscript"/>
        </w:rPr>
        <w:t xml:space="preserve"> </w:t>
      </w:r>
    </w:p>
    <w:p w14:paraId="2D66271A" w14:textId="77777777" w:rsidR="006D6E8B" w:rsidRDefault="006D6E8B" w:rsidP="006D6E8B">
      <w:pPr>
        <w:rPr>
          <w:rFonts w:asciiTheme="minorHAnsi" w:hAnsiTheme="minorHAnsi"/>
        </w:rPr>
      </w:pPr>
    </w:p>
    <w:p w14:paraId="42F6DCE9" w14:textId="183066D3" w:rsidR="006D6E8B" w:rsidRPr="001877F6" w:rsidRDefault="006D6E8B" w:rsidP="006D6E8B">
      <w:pPr>
        <w:rPr>
          <w:rFonts w:asciiTheme="minorHAnsi" w:hAnsiTheme="minorHAnsi"/>
          <w:color w:val="000000" w:themeColor="text1"/>
          <w:vertAlign w:val="subscript"/>
        </w:rPr>
      </w:pPr>
      <w:r w:rsidRPr="00787C1C">
        <w:rPr>
          <w:rFonts w:asciiTheme="minorHAnsi" w:hAnsiTheme="minorHAnsi"/>
          <w:b/>
          <w:color w:val="000000" w:themeColor="text1"/>
        </w:rPr>
        <w:t>WHER</w:t>
      </w:r>
      <w:r w:rsidR="002D0B5B">
        <w:rPr>
          <w:rFonts w:asciiTheme="minorHAnsi" w:hAnsiTheme="minorHAnsi"/>
          <w:b/>
          <w:color w:val="000000" w:themeColor="text1"/>
        </w:rPr>
        <w:t>E</w:t>
      </w:r>
      <w:bookmarkStart w:id="0" w:name="_GoBack"/>
      <w:bookmarkEnd w:id="0"/>
      <w:r w:rsidR="000339C3">
        <w:rPr>
          <w:rFonts w:asciiTheme="minorHAnsi" w:hAnsiTheme="minorHAnsi"/>
          <w:b/>
          <w:color w:val="000000" w:themeColor="text1"/>
        </w:rPr>
        <w:t xml:space="preserve"> </w:t>
      </w:r>
      <w:r w:rsidRPr="00787C1C">
        <w:rPr>
          <w:rFonts w:asciiTheme="minorHAnsi" w:hAnsiTheme="minorHAnsi"/>
          <w:b/>
          <w:color w:val="000000" w:themeColor="text1"/>
        </w:rPr>
        <w:t>AS</w:t>
      </w:r>
      <w:r w:rsidRPr="00787C1C">
        <w:rPr>
          <w:rFonts w:asciiTheme="minorHAnsi" w:hAnsiTheme="minorHAnsi"/>
          <w:color w:val="000000" w:themeColor="text1"/>
        </w:rPr>
        <w:t>, high rates of costly chronic disease among both children and adults are correlated to environments with few or no options for health</w:t>
      </w:r>
      <w:r>
        <w:rPr>
          <w:rFonts w:asciiTheme="minorHAnsi" w:hAnsiTheme="minorHAnsi"/>
          <w:color w:val="000000" w:themeColor="text1"/>
        </w:rPr>
        <w:t>y eating and active living</w:t>
      </w:r>
      <w:r>
        <w:rPr>
          <w:rFonts w:asciiTheme="minorHAnsi" w:hAnsiTheme="minorHAnsi"/>
          <w:color w:val="000000" w:themeColor="text1"/>
          <w:vertAlign w:val="subscript"/>
        </w:rPr>
        <w:t xml:space="preserve"> 3</w:t>
      </w:r>
      <w:r>
        <w:rPr>
          <w:rFonts w:asciiTheme="minorHAnsi" w:hAnsiTheme="minorHAnsi"/>
          <w:color w:val="000000" w:themeColor="text1"/>
        </w:rPr>
        <w:t>; and</w:t>
      </w:r>
      <w:r>
        <w:rPr>
          <w:rFonts w:asciiTheme="minorHAnsi" w:hAnsiTheme="minorHAnsi"/>
          <w:color w:val="000000" w:themeColor="text1"/>
          <w:vertAlign w:val="subscript"/>
        </w:rPr>
        <w:t xml:space="preserve"> </w:t>
      </w:r>
    </w:p>
    <w:p w14:paraId="057C7AE7" w14:textId="77777777" w:rsidR="006D6E8B" w:rsidRPr="00431E44" w:rsidRDefault="006D6E8B" w:rsidP="006D6E8B">
      <w:pPr>
        <w:rPr>
          <w:rFonts w:asciiTheme="minorHAnsi" w:hAnsiTheme="minorHAnsi"/>
          <w:b/>
        </w:rPr>
      </w:pPr>
    </w:p>
    <w:p w14:paraId="255CB82B" w14:textId="50E71950" w:rsidR="006D6E8B" w:rsidRPr="00BF5EA0" w:rsidRDefault="006D6E8B" w:rsidP="006D6E8B">
      <w:pPr>
        <w:rPr>
          <w:rFonts w:asciiTheme="minorHAnsi" w:hAnsiTheme="minorHAnsi"/>
          <w:color w:val="000000" w:themeColor="text1"/>
          <w:vertAlign w:val="subscript"/>
        </w:rPr>
      </w:pPr>
      <w:r w:rsidRPr="007A194E">
        <w:rPr>
          <w:rFonts w:asciiTheme="minorHAnsi" w:hAnsiTheme="minorHAnsi"/>
          <w:b/>
          <w:color w:val="000000" w:themeColor="text1"/>
        </w:rPr>
        <w:t>WHERE</w:t>
      </w:r>
      <w:r w:rsidR="000339C3">
        <w:rPr>
          <w:rFonts w:asciiTheme="minorHAnsi" w:hAnsiTheme="minorHAnsi"/>
          <w:b/>
          <w:color w:val="000000" w:themeColor="text1"/>
        </w:rPr>
        <w:t xml:space="preserve"> </w:t>
      </w:r>
      <w:r w:rsidRPr="007A194E">
        <w:rPr>
          <w:rFonts w:asciiTheme="minorHAnsi" w:hAnsiTheme="minorHAnsi"/>
          <w:b/>
          <w:color w:val="000000" w:themeColor="text1"/>
        </w:rPr>
        <w:t>AS</w:t>
      </w:r>
      <w:r w:rsidRPr="007A194E">
        <w:rPr>
          <w:rFonts w:asciiTheme="minorHAnsi" w:hAnsiTheme="minorHAnsi"/>
          <w:color w:val="000000" w:themeColor="text1"/>
        </w:rPr>
        <w:t>, by supporting the health of residents and the local workforce would decrease chronic disease and health care costs and increase productivity; and</w:t>
      </w:r>
      <w:r>
        <w:rPr>
          <w:rFonts w:asciiTheme="minorHAnsi" w:hAnsiTheme="minorHAnsi"/>
          <w:color w:val="000000" w:themeColor="text1"/>
          <w:vertAlign w:val="subscript"/>
        </w:rPr>
        <w:t xml:space="preserve"> </w:t>
      </w:r>
    </w:p>
    <w:p w14:paraId="71121958" w14:textId="77777777" w:rsidR="006D6E8B" w:rsidRDefault="006D6E8B" w:rsidP="006D6E8B">
      <w:pPr>
        <w:rPr>
          <w:rFonts w:asciiTheme="minorHAnsi" w:hAnsiTheme="minorHAnsi"/>
          <w:b/>
        </w:rPr>
      </w:pPr>
    </w:p>
    <w:p w14:paraId="3C42B167" w14:textId="18D1DA0B" w:rsidR="006D6E8B" w:rsidRPr="000339C3" w:rsidRDefault="006D6E8B" w:rsidP="006D6E8B">
      <w:pPr>
        <w:rPr>
          <w:rFonts w:asciiTheme="minorHAnsi" w:hAnsiTheme="minorHAnsi"/>
          <w:b/>
        </w:rPr>
      </w:pPr>
      <w:r w:rsidRPr="00431E44">
        <w:rPr>
          <w:rFonts w:asciiTheme="minorHAnsi" w:hAnsiTheme="minorHAnsi"/>
          <w:b/>
        </w:rPr>
        <w:t xml:space="preserve">NOW, THEREFORE, LET IT BE RESOLVED </w:t>
      </w:r>
      <w:r w:rsidRPr="00431E44">
        <w:rPr>
          <w:rFonts w:asciiTheme="minorHAnsi" w:hAnsiTheme="minorHAnsi"/>
        </w:rPr>
        <w:t xml:space="preserve">that the City Council hereby recognized that </w:t>
      </w:r>
      <w:r w:rsidR="000339C3" w:rsidRPr="000339C3">
        <w:rPr>
          <w:rFonts w:asciiTheme="minorHAnsi" w:hAnsiTheme="minorHAnsi"/>
        </w:rPr>
        <w:t>chronic illness</w:t>
      </w:r>
      <w:r w:rsidRPr="00431E44">
        <w:rPr>
          <w:rFonts w:asciiTheme="minorHAnsi" w:hAnsiTheme="minorHAnsi"/>
        </w:rPr>
        <w:t xml:space="preserve"> is a serious public health threat to the health and wellbeing of adults, children and families in</w:t>
      </w:r>
      <w:r>
        <w:rPr>
          <w:rFonts w:asciiTheme="minorHAnsi" w:hAnsiTheme="minorHAnsi"/>
        </w:rPr>
        <w:t xml:space="preserve"> the City of Camden. </w:t>
      </w:r>
      <w:r w:rsidRPr="00431E44">
        <w:rPr>
          <w:rFonts w:asciiTheme="minorHAnsi" w:hAnsiTheme="minorHAnsi"/>
        </w:rPr>
        <w:t xml:space="preserve">While individual lifestyle changes are necessary, individual effort alone is insufficient to combat obesity’s rising tide.  Significant societal and environmental changes are needed to support individual efforts to make healthier choices.  To that end, </w:t>
      </w:r>
      <w:r>
        <w:rPr>
          <w:rFonts w:asciiTheme="minorHAnsi" w:hAnsiTheme="minorHAnsi"/>
        </w:rPr>
        <w:t>the City of Camden</w:t>
      </w:r>
      <w:r w:rsidRPr="00431E44">
        <w:rPr>
          <w:rFonts w:asciiTheme="minorHAnsi" w:hAnsiTheme="minorHAnsi"/>
        </w:rPr>
        <w:t xml:space="preserve"> adopts this </w:t>
      </w:r>
      <w:r>
        <w:rPr>
          <w:rFonts w:asciiTheme="minorHAnsi" w:hAnsiTheme="minorHAnsi"/>
        </w:rPr>
        <w:t>“Get Healthy Camden”</w:t>
      </w:r>
      <w:r w:rsidRPr="00431E44">
        <w:rPr>
          <w:rFonts w:asciiTheme="minorHAnsi" w:hAnsiTheme="minorHAnsi"/>
        </w:rPr>
        <w:t xml:space="preserve"> resolution:</w:t>
      </w:r>
    </w:p>
    <w:p w14:paraId="659C931C" w14:textId="77777777" w:rsidR="006D6E8B" w:rsidRPr="00431E44" w:rsidRDefault="006D6E8B" w:rsidP="006D6E8B">
      <w:pPr>
        <w:rPr>
          <w:rFonts w:asciiTheme="minorHAnsi" w:hAnsiTheme="minorHAnsi"/>
        </w:rPr>
      </w:pPr>
    </w:p>
    <w:p w14:paraId="42C47915" w14:textId="77777777" w:rsidR="006D6E8B" w:rsidRPr="00431E44" w:rsidRDefault="006D6E8B" w:rsidP="006D6E8B">
      <w:pPr>
        <w:pStyle w:val="ListParagraph"/>
        <w:numPr>
          <w:ilvl w:val="0"/>
          <w:numId w:val="2"/>
        </w:numPr>
        <w:rPr>
          <w:rFonts w:asciiTheme="minorHAnsi" w:hAnsiTheme="minorHAnsi"/>
          <w:b/>
        </w:rPr>
      </w:pPr>
      <w:r w:rsidRPr="00431E44">
        <w:rPr>
          <w:rFonts w:asciiTheme="minorHAnsi" w:hAnsiTheme="minorHAnsi"/>
          <w:b/>
        </w:rPr>
        <w:t>Built Environment</w:t>
      </w:r>
    </w:p>
    <w:p w14:paraId="0665E14A" w14:textId="77777777" w:rsidR="006D6E8B" w:rsidRPr="00431E44" w:rsidRDefault="006D6E8B" w:rsidP="006D6E8B">
      <w:pPr>
        <w:rPr>
          <w:rFonts w:asciiTheme="minorHAnsi" w:hAnsiTheme="minorHAnsi"/>
        </w:rPr>
      </w:pPr>
    </w:p>
    <w:p w14:paraId="0D809260" w14:textId="77777777" w:rsidR="006D6E8B" w:rsidRDefault="006D6E8B" w:rsidP="006D6E8B">
      <w:pPr>
        <w:rPr>
          <w:rFonts w:asciiTheme="minorHAnsi" w:hAnsiTheme="minorHAnsi"/>
        </w:rPr>
      </w:pPr>
      <w:r w:rsidRPr="00431E44">
        <w:rPr>
          <w:rFonts w:asciiTheme="minorHAnsi" w:hAnsiTheme="minorHAnsi"/>
          <w:b/>
        </w:rPr>
        <w:t>BE IT FURTHER RESOLVED</w:t>
      </w:r>
      <w:r w:rsidRPr="00431E44">
        <w:rPr>
          <w:rFonts w:asciiTheme="minorHAnsi" w:hAnsiTheme="minorHAnsi"/>
        </w:rPr>
        <w:t xml:space="preserve"> that </w:t>
      </w:r>
      <w:r>
        <w:rPr>
          <w:rFonts w:asciiTheme="minorHAnsi" w:hAnsiTheme="minorHAnsi"/>
        </w:rPr>
        <w:t>the City of Camden</w:t>
      </w:r>
      <w:r w:rsidRPr="00431E44">
        <w:rPr>
          <w:rFonts w:asciiTheme="minorHAnsi" w:hAnsiTheme="minorHAnsi"/>
        </w:rPr>
        <w:t xml:space="preserve"> planners, </w:t>
      </w:r>
      <w:r>
        <w:rPr>
          <w:rFonts w:asciiTheme="minorHAnsi" w:hAnsiTheme="minorHAnsi"/>
        </w:rPr>
        <w:t xml:space="preserve">engineers, public works, economic </w:t>
      </w:r>
      <w:r w:rsidRPr="00431E44">
        <w:rPr>
          <w:rFonts w:asciiTheme="minorHAnsi" w:hAnsiTheme="minorHAnsi"/>
        </w:rPr>
        <w:t xml:space="preserve">development personnel responsible for the design and construction of parks, neighborhoods, streets, and business areas should </w:t>
      </w:r>
      <w:r w:rsidRPr="00431E44">
        <w:rPr>
          <w:rFonts w:asciiTheme="minorHAnsi" w:hAnsiTheme="minorHAnsi"/>
        </w:rPr>
        <w:lastRenderedPageBreak/>
        <w:t>make every effort</w:t>
      </w:r>
      <w:r>
        <w:rPr>
          <w:rFonts w:asciiTheme="minorHAnsi" w:hAnsiTheme="minorHAnsi"/>
        </w:rPr>
        <w:t>, in accordance with the Sustainability Ordinance passed in 2015,</w:t>
      </w:r>
      <w:r w:rsidRPr="00431E44">
        <w:rPr>
          <w:rFonts w:asciiTheme="minorHAnsi" w:hAnsiTheme="minorHAnsi"/>
        </w:rPr>
        <w:t xml:space="preserve"> to</w:t>
      </w:r>
      <w:r>
        <w:rPr>
          <w:rFonts w:asciiTheme="minorHAnsi" w:hAnsiTheme="minorHAnsi"/>
        </w:rPr>
        <w:t xml:space="preserve"> consider health and health equity in all policies by using the following built environment strategies</w:t>
      </w:r>
      <w:r w:rsidRPr="00431E44">
        <w:rPr>
          <w:rFonts w:asciiTheme="minorHAnsi" w:hAnsiTheme="minorHAnsi"/>
        </w:rPr>
        <w:t>:</w:t>
      </w:r>
    </w:p>
    <w:p w14:paraId="187C3316" w14:textId="77777777" w:rsidR="006D6E8B" w:rsidRDefault="006D6E8B" w:rsidP="006D6E8B">
      <w:pPr>
        <w:rPr>
          <w:rFonts w:asciiTheme="minorHAnsi" w:hAnsiTheme="minorHAnsi"/>
        </w:rPr>
      </w:pPr>
    </w:p>
    <w:p w14:paraId="6FC08E08" w14:textId="77777777" w:rsidR="006D6E8B" w:rsidRPr="006D6E8B" w:rsidRDefault="006D6E8B" w:rsidP="006D6E8B">
      <w:pPr>
        <w:pStyle w:val="ListParagraph"/>
        <w:numPr>
          <w:ilvl w:val="0"/>
          <w:numId w:val="4"/>
        </w:numPr>
        <w:rPr>
          <w:rFonts w:asciiTheme="minorHAnsi" w:hAnsiTheme="minorHAnsi"/>
        </w:rPr>
      </w:pPr>
      <w:r w:rsidRPr="006D6E8B">
        <w:rPr>
          <w:rFonts w:asciiTheme="minorHAnsi" w:hAnsiTheme="minorHAnsi"/>
        </w:rPr>
        <w:t>Include health goals and policies related to physical activity in the general plan, speci</w:t>
      </w:r>
      <w:r>
        <w:rPr>
          <w:rFonts w:asciiTheme="minorHAnsi" w:hAnsiTheme="minorHAnsi"/>
        </w:rPr>
        <w:t>fic area plans and master plans;</w:t>
      </w:r>
    </w:p>
    <w:p w14:paraId="4915CE34" w14:textId="3F3FFF88" w:rsidR="006D6E8B" w:rsidRPr="000339C3" w:rsidRDefault="000339C3" w:rsidP="006D6E8B">
      <w:pPr>
        <w:pStyle w:val="ListParagraph"/>
        <w:numPr>
          <w:ilvl w:val="0"/>
          <w:numId w:val="4"/>
        </w:numPr>
        <w:rPr>
          <w:rFonts w:asciiTheme="minorHAnsi" w:hAnsiTheme="minorHAnsi"/>
        </w:rPr>
      </w:pPr>
      <w:r w:rsidRPr="000339C3">
        <w:rPr>
          <w:rFonts w:asciiTheme="minorHAnsi" w:hAnsiTheme="minorHAnsi"/>
        </w:rPr>
        <w:t>Expand existing</w:t>
      </w:r>
      <w:r w:rsidR="006D6E8B" w:rsidRPr="000339C3">
        <w:rPr>
          <w:rFonts w:asciiTheme="minorHAnsi" w:hAnsiTheme="minorHAnsi"/>
        </w:rPr>
        <w:t xml:space="preserve"> farmer’s market and community gardens in public spaces;</w:t>
      </w:r>
    </w:p>
    <w:p w14:paraId="6494801F" w14:textId="77777777" w:rsidR="006D6E8B" w:rsidRPr="000339C3" w:rsidRDefault="006D6E8B" w:rsidP="006D6E8B">
      <w:pPr>
        <w:pStyle w:val="ListParagraph"/>
        <w:numPr>
          <w:ilvl w:val="0"/>
          <w:numId w:val="4"/>
        </w:numPr>
        <w:rPr>
          <w:rFonts w:asciiTheme="minorHAnsi" w:hAnsiTheme="minorHAnsi"/>
        </w:rPr>
      </w:pPr>
      <w:r w:rsidRPr="000339C3">
        <w:rPr>
          <w:rFonts w:asciiTheme="minorHAnsi" w:hAnsiTheme="minorHAnsi"/>
        </w:rPr>
        <w:t xml:space="preserve">Expand community access to indoor and outdoor public facilities through joint use agreements with schools and/or other partners; </w:t>
      </w:r>
    </w:p>
    <w:p w14:paraId="3004204C" w14:textId="0BC0C757" w:rsidR="006D6E8B" w:rsidRDefault="000339C3" w:rsidP="006D6E8B">
      <w:pPr>
        <w:pStyle w:val="ListParagraph"/>
        <w:numPr>
          <w:ilvl w:val="0"/>
          <w:numId w:val="4"/>
        </w:numPr>
        <w:rPr>
          <w:rFonts w:asciiTheme="minorHAnsi" w:hAnsiTheme="minorHAnsi"/>
        </w:rPr>
      </w:pPr>
      <w:r w:rsidRPr="000339C3">
        <w:rPr>
          <w:rFonts w:asciiTheme="minorHAnsi" w:hAnsiTheme="minorHAnsi"/>
        </w:rPr>
        <w:t>Encourage</w:t>
      </w:r>
      <w:r w:rsidR="006D6E8B" w:rsidRPr="006D6E8B">
        <w:rPr>
          <w:rFonts w:asciiTheme="minorHAnsi" w:hAnsiTheme="minorHAnsi"/>
        </w:rPr>
        <w:t xml:space="preserve"> walking and biking connectivity between residential neighborhoods and schools, parks and recreational resources and retail;</w:t>
      </w:r>
    </w:p>
    <w:p w14:paraId="2957C0D4" w14:textId="77777777" w:rsidR="006D6E8B" w:rsidRDefault="006D6E8B" w:rsidP="006D6E8B">
      <w:pPr>
        <w:pStyle w:val="ListParagraph"/>
        <w:numPr>
          <w:ilvl w:val="0"/>
          <w:numId w:val="4"/>
        </w:numPr>
        <w:rPr>
          <w:rFonts w:asciiTheme="minorHAnsi" w:hAnsiTheme="minorHAnsi"/>
        </w:rPr>
      </w:pPr>
      <w:r w:rsidRPr="006D6E8B">
        <w:rPr>
          <w:rFonts w:asciiTheme="minorHAnsi" w:hAnsiTheme="minorHAnsi"/>
        </w:rPr>
        <w:t>Address pedestrian and bicycle safety at crossings, along corridors, on routes between residential areas and schools, and in other transportation projects (Safe Routes to School);</w:t>
      </w:r>
    </w:p>
    <w:p w14:paraId="268D47DB" w14:textId="4EEF3A92" w:rsidR="006D6E8B" w:rsidRDefault="000339C3" w:rsidP="006D6E8B">
      <w:pPr>
        <w:pStyle w:val="ListParagraph"/>
        <w:numPr>
          <w:ilvl w:val="0"/>
          <w:numId w:val="4"/>
        </w:numPr>
        <w:rPr>
          <w:rFonts w:asciiTheme="minorHAnsi" w:hAnsiTheme="minorHAnsi"/>
        </w:rPr>
      </w:pPr>
      <w:r>
        <w:rPr>
          <w:rFonts w:asciiTheme="minorHAnsi" w:hAnsiTheme="minorHAnsi"/>
        </w:rPr>
        <w:t>Support g</w:t>
      </w:r>
      <w:r w:rsidR="006D6E8B" w:rsidRPr="006D6E8B">
        <w:rPr>
          <w:rFonts w:asciiTheme="minorHAnsi" w:hAnsiTheme="minorHAnsi"/>
        </w:rPr>
        <w:t>reen streets policies to create beauty, foster environmental sustainabi</w:t>
      </w:r>
      <w:r w:rsidR="006D6E8B">
        <w:rPr>
          <w:rFonts w:asciiTheme="minorHAnsi" w:hAnsiTheme="minorHAnsi"/>
        </w:rPr>
        <w:t>lity and address climate change;</w:t>
      </w:r>
    </w:p>
    <w:p w14:paraId="150A50F0" w14:textId="77777777" w:rsidR="006D6E8B" w:rsidRDefault="006D6E8B" w:rsidP="006D6E8B">
      <w:pPr>
        <w:pStyle w:val="ListParagraph"/>
        <w:numPr>
          <w:ilvl w:val="0"/>
          <w:numId w:val="4"/>
        </w:numPr>
        <w:rPr>
          <w:rFonts w:asciiTheme="minorHAnsi" w:hAnsiTheme="minorHAnsi"/>
        </w:rPr>
      </w:pPr>
      <w:r w:rsidRPr="006D6E8B">
        <w:rPr>
          <w:rFonts w:asciiTheme="minorHAnsi" w:hAnsiTheme="minorHAnsi"/>
        </w:rPr>
        <w:t>Ensure that every neighborhood has walking access to a park or recreational area through adoption of an open streets, play streets, or parklet policy</w:t>
      </w:r>
      <w:r>
        <w:rPr>
          <w:rFonts w:asciiTheme="minorHAnsi" w:hAnsiTheme="minorHAnsi"/>
        </w:rPr>
        <w:t>;</w:t>
      </w:r>
    </w:p>
    <w:p w14:paraId="47CFB964" w14:textId="77777777" w:rsidR="006D6E8B" w:rsidRDefault="006D6E8B" w:rsidP="006D6E8B">
      <w:pPr>
        <w:pStyle w:val="ListParagraph"/>
        <w:numPr>
          <w:ilvl w:val="0"/>
          <w:numId w:val="4"/>
        </w:numPr>
        <w:rPr>
          <w:rFonts w:asciiTheme="minorHAnsi" w:hAnsiTheme="minorHAnsi"/>
        </w:rPr>
      </w:pPr>
      <w:r w:rsidRPr="006D6E8B">
        <w:rPr>
          <w:rFonts w:asciiTheme="minorHAnsi" w:hAnsiTheme="minorHAnsi"/>
        </w:rPr>
        <w:t>Adopt a Public art policy to increase the amount of original artwork in parks and other public spaces in the community</w:t>
      </w:r>
      <w:r>
        <w:rPr>
          <w:rFonts w:asciiTheme="minorHAnsi" w:hAnsiTheme="minorHAnsi"/>
        </w:rPr>
        <w:t>;</w:t>
      </w:r>
    </w:p>
    <w:p w14:paraId="58E69635" w14:textId="77777777" w:rsidR="006D6E8B" w:rsidRPr="009C7498" w:rsidRDefault="006D6E8B" w:rsidP="006D6E8B">
      <w:pPr>
        <w:pStyle w:val="ListParagraph"/>
        <w:numPr>
          <w:ilvl w:val="0"/>
          <w:numId w:val="4"/>
        </w:numPr>
        <w:rPr>
          <w:rFonts w:asciiTheme="minorHAnsi" w:hAnsiTheme="minorHAnsi"/>
        </w:rPr>
      </w:pPr>
      <w:r w:rsidRPr="009C7498">
        <w:rPr>
          <w:rFonts w:asciiTheme="minorHAnsi" w:hAnsiTheme="minorHAnsi"/>
        </w:rPr>
        <w:t>Adopt an Open/Play Streets Policy that temporarily close streets to provide “pop up” playgrounds and rec centers for physical activity and cultural celebrations;</w:t>
      </w:r>
    </w:p>
    <w:p w14:paraId="211D5D7A" w14:textId="77777777" w:rsidR="006D6E8B" w:rsidRPr="009C7498" w:rsidRDefault="006D6E8B" w:rsidP="006D6E8B">
      <w:pPr>
        <w:pStyle w:val="ListParagraph"/>
        <w:numPr>
          <w:ilvl w:val="0"/>
          <w:numId w:val="4"/>
        </w:numPr>
        <w:rPr>
          <w:rFonts w:asciiTheme="minorHAnsi" w:hAnsiTheme="minorHAnsi"/>
        </w:rPr>
      </w:pPr>
      <w:r w:rsidRPr="009C7498">
        <w:rPr>
          <w:rFonts w:asciiTheme="minorHAnsi" w:hAnsiTheme="minorHAnsi"/>
        </w:rPr>
        <w:t>Examine racial, ethnic and socio-economic disparities in access to physical activity facilities or resources and adopt strategies to remedy these inequities.</w:t>
      </w:r>
    </w:p>
    <w:p w14:paraId="0A436D41" w14:textId="1D54898B" w:rsidR="007E1D2A" w:rsidRPr="009C7498" w:rsidRDefault="007E1D2A" w:rsidP="007E1D2A">
      <w:pPr>
        <w:pStyle w:val="ListParagraph"/>
        <w:widowControl/>
        <w:numPr>
          <w:ilvl w:val="0"/>
          <w:numId w:val="4"/>
        </w:numPr>
        <w:rPr>
          <w:rFonts w:asciiTheme="minorHAnsi" w:hAnsiTheme="minorHAnsi" w:cs="Arial"/>
          <w:color w:val="000000"/>
        </w:rPr>
      </w:pPr>
      <w:r w:rsidRPr="009C7498">
        <w:rPr>
          <w:rFonts w:asciiTheme="minorHAnsi" w:hAnsiTheme="minorHAnsi" w:cs="Arial"/>
          <w:color w:val="000000"/>
        </w:rPr>
        <w:t>A</w:t>
      </w:r>
      <w:r w:rsidR="009C7498" w:rsidRPr="009C7498">
        <w:rPr>
          <w:rFonts w:asciiTheme="minorHAnsi" w:hAnsiTheme="minorHAnsi" w:cs="Arial"/>
          <w:color w:val="000000"/>
        </w:rPr>
        <w:t>d</w:t>
      </w:r>
      <w:r w:rsidRPr="009C7498">
        <w:rPr>
          <w:rFonts w:asciiTheme="minorHAnsi" w:hAnsiTheme="minorHAnsi" w:cs="Arial"/>
          <w:color w:val="000000"/>
        </w:rPr>
        <w:t>opt a formal resolution supporting the completion of Circuit Trails</w:t>
      </w:r>
      <w:r w:rsidR="009C7498" w:rsidRPr="009C7498">
        <w:rPr>
          <w:rFonts w:asciiTheme="minorHAnsi" w:hAnsiTheme="minorHAnsi" w:cs="Arial"/>
          <w:color w:val="000000"/>
        </w:rPr>
        <w:t xml:space="preserve">. </w:t>
      </w:r>
    </w:p>
    <w:p w14:paraId="7E97CC36" w14:textId="77777777" w:rsidR="006D6E8B" w:rsidRPr="009C7498" w:rsidRDefault="006D6E8B" w:rsidP="006D6E8B">
      <w:pPr>
        <w:rPr>
          <w:rFonts w:asciiTheme="minorHAnsi" w:hAnsiTheme="minorHAnsi"/>
        </w:rPr>
      </w:pPr>
    </w:p>
    <w:p w14:paraId="20822AFB" w14:textId="77777777" w:rsidR="006D6E8B" w:rsidRPr="00431E44" w:rsidRDefault="006D6E8B" w:rsidP="006D6E8B">
      <w:pPr>
        <w:rPr>
          <w:rFonts w:asciiTheme="minorHAnsi" w:hAnsiTheme="minorHAnsi"/>
        </w:rPr>
      </w:pPr>
    </w:p>
    <w:p w14:paraId="3CB7A04C" w14:textId="77777777" w:rsidR="006D6E8B" w:rsidRDefault="006D6E8B" w:rsidP="006D6E8B">
      <w:pPr>
        <w:pStyle w:val="ListParagraph"/>
        <w:numPr>
          <w:ilvl w:val="0"/>
          <w:numId w:val="2"/>
        </w:numPr>
        <w:rPr>
          <w:rFonts w:asciiTheme="minorHAnsi" w:hAnsiTheme="minorHAnsi"/>
          <w:b/>
        </w:rPr>
      </w:pPr>
      <w:r>
        <w:rPr>
          <w:rFonts w:asciiTheme="minorHAnsi" w:hAnsiTheme="minorHAnsi"/>
          <w:b/>
        </w:rPr>
        <w:t xml:space="preserve">Healthy Food Access </w:t>
      </w:r>
    </w:p>
    <w:p w14:paraId="6B8D5787" w14:textId="77777777" w:rsidR="006D6E8B" w:rsidRDefault="006D6E8B" w:rsidP="006D6E8B">
      <w:pPr>
        <w:pStyle w:val="ListParagraph"/>
        <w:ind w:left="1080"/>
        <w:rPr>
          <w:rFonts w:asciiTheme="minorHAnsi" w:hAnsiTheme="minorHAnsi"/>
          <w:b/>
        </w:rPr>
      </w:pPr>
    </w:p>
    <w:p w14:paraId="2863C0AB" w14:textId="77777777" w:rsidR="006D6E8B" w:rsidRDefault="006D6E8B" w:rsidP="006D6E8B">
      <w:pPr>
        <w:ind w:left="360"/>
        <w:rPr>
          <w:rFonts w:asciiTheme="minorHAnsi" w:hAnsiTheme="minorHAnsi"/>
        </w:rPr>
      </w:pPr>
      <w:r w:rsidRPr="00431E44">
        <w:rPr>
          <w:rFonts w:asciiTheme="minorHAnsi" w:hAnsiTheme="minorHAnsi"/>
          <w:b/>
        </w:rPr>
        <w:t>BE IT FURTHER RESOLVED</w:t>
      </w:r>
      <w:r>
        <w:rPr>
          <w:rFonts w:asciiTheme="minorHAnsi" w:hAnsiTheme="minorHAnsi"/>
          <w:b/>
        </w:rPr>
        <w:t xml:space="preserve"> </w:t>
      </w:r>
      <w:r>
        <w:rPr>
          <w:rFonts w:asciiTheme="minorHAnsi" w:hAnsiTheme="minorHAnsi"/>
        </w:rPr>
        <w:t xml:space="preserve">that the City of Camden planners, community economic personnel responsible for the design of parks, neighborhoods, streets, and business areas, should make every effort </w:t>
      </w:r>
      <w:r w:rsidRPr="00431E44">
        <w:rPr>
          <w:rFonts w:asciiTheme="minorHAnsi" w:hAnsiTheme="minorHAnsi"/>
        </w:rPr>
        <w:t>to</w:t>
      </w:r>
      <w:r>
        <w:rPr>
          <w:rFonts w:asciiTheme="minorHAnsi" w:hAnsiTheme="minorHAnsi"/>
        </w:rPr>
        <w:t xml:space="preserve"> consider health and health equity in all policies by using the following healthy food access strategies</w:t>
      </w:r>
      <w:r w:rsidRPr="00431E44">
        <w:rPr>
          <w:rFonts w:asciiTheme="minorHAnsi" w:hAnsiTheme="minorHAnsi"/>
        </w:rPr>
        <w:t>:</w:t>
      </w:r>
    </w:p>
    <w:p w14:paraId="15E325E2" w14:textId="77777777" w:rsidR="006D6E8B" w:rsidRDefault="006D6E8B" w:rsidP="006D6E8B">
      <w:pPr>
        <w:rPr>
          <w:rFonts w:asciiTheme="minorHAnsi" w:hAnsiTheme="minorHAnsi"/>
        </w:rPr>
      </w:pPr>
    </w:p>
    <w:p w14:paraId="463106B3" w14:textId="40CAB5D5" w:rsidR="006D6E8B" w:rsidRDefault="006D6E8B" w:rsidP="006D6E8B">
      <w:pPr>
        <w:pStyle w:val="ListParagraph"/>
        <w:numPr>
          <w:ilvl w:val="0"/>
          <w:numId w:val="6"/>
        </w:numPr>
        <w:ind w:left="450"/>
        <w:rPr>
          <w:rFonts w:asciiTheme="minorHAnsi" w:hAnsiTheme="minorHAnsi"/>
        </w:rPr>
      </w:pPr>
      <w:r w:rsidRPr="006D6E8B">
        <w:rPr>
          <w:rFonts w:asciiTheme="minorHAnsi" w:hAnsiTheme="minorHAnsi"/>
        </w:rPr>
        <w:t xml:space="preserve">Adopt ordinances to create and support healthier food and beverage environments for </w:t>
      </w:r>
      <w:r w:rsidR="00B9570E">
        <w:rPr>
          <w:rFonts w:asciiTheme="minorHAnsi" w:hAnsiTheme="minorHAnsi"/>
        </w:rPr>
        <w:t>all</w:t>
      </w:r>
      <w:r w:rsidRPr="006D6E8B">
        <w:rPr>
          <w:rFonts w:asciiTheme="minorHAnsi" w:hAnsiTheme="minorHAnsi"/>
        </w:rPr>
        <w:t xml:space="preserve"> (e.g. healthy default beverages in meals, restrictions on sugary beverage advertising on government property, incentives for healthy corner stores, markets, and vendors);</w:t>
      </w:r>
    </w:p>
    <w:p w14:paraId="61DAD253" w14:textId="77777777" w:rsidR="006D6E8B" w:rsidRDefault="006D6E8B" w:rsidP="006D6E8B">
      <w:pPr>
        <w:pStyle w:val="ListParagraph"/>
        <w:numPr>
          <w:ilvl w:val="0"/>
          <w:numId w:val="6"/>
        </w:numPr>
        <w:ind w:left="450"/>
        <w:rPr>
          <w:rFonts w:asciiTheme="minorHAnsi" w:hAnsiTheme="minorHAnsi"/>
        </w:rPr>
      </w:pPr>
      <w:r w:rsidRPr="006D6E8B">
        <w:rPr>
          <w:rFonts w:asciiTheme="minorHAnsi" w:hAnsiTheme="minorHAnsi"/>
        </w:rPr>
        <w:t>Set nutrition standards for food offered at city events, sponsored meetings, served at city facilities, concessions, city programs and parks;</w:t>
      </w:r>
    </w:p>
    <w:p w14:paraId="22C39711" w14:textId="77777777" w:rsidR="006D6E8B" w:rsidRDefault="006D6E8B" w:rsidP="006D6E8B">
      <w:pPr>
        <w:pStyle w:val="ListParagraph"/>
        <w:numPr>
          <w:ilvl w:val="0"/>
          <w:numId w:val="6"/>
        </w:numPr>
        <w:ind w:left="450"/>
        <w:rPr>
          <w:rFonts w:asciiTheme="minorHAnsi" w:hAnsiTheme="minorHAnsi"/>
        </w:rPr>
      </w:pPr>
      <w:r w:rsidRPr="006D6E8B">
        <w:rPr>
          <w:rFonts w:asciiTheme="minorHAnsi" w:hAnsiTheme="minorHAnsi"/>
        </w:rPr>
        <w:t>Set healthy vending nutrition standards for all vending machines located in city facilities and parks;</w:t>
      </w:r>
    </w:p>
    <w:p w14:paraId="448723A5" w14:textId="77777777" w:rsidR="006D6E8B" w:rsidRDefault="006D6E8B" w:rsidP="006D6E8B">
      <w:pPr>
        <w:pStyle w:val="ListParagraph"/>
        <w:numPr>
          <w:ilvl w:val="0"/>
          <w:numId w:val="6"/>
        </w:numPr>
        <w:ind w:left="450"/>
        <w:rPr>
          <w:rFonts w:asciiTheme="minorHAnsi" w:hAnsiTheme="minorHAnsi"/>
        </w:rPr>
      </w:pPr>
      <w:r w:rsidRPr="006D6E8B">
        <w:rPr>
          <w:rFonts w:asciiTheme="minorHAnsi" w:hAnsiTheme="minorHAnsi"/>
        </w:rPr>
        <w:t>Make water the standard beverage option at all city events, sponsored meetings and city programs;</w:t>
      </w:r>
    </w:p>
    <w:p w14:paraId="0F6F3AD3" w14:textId="77777777" w:rsidR="006D6E8B" w:rsidRPr="006D6E8B" w:rsidRDefault="006D6E8B" w:rsidP="006D6E8B">
      <w:pPr>
        <w:pStyle w:val="ListParagraph"/>
        <w:numPr>
          <w:ilvl w:val="0"/>
          <w:numId w:val="6"/>
        </w:numPr>
        <w:ind w:left="450"/>
        <w:rPr>
          <w:rFonts w:asciiTheme="minorHAnsi" w:hAnsiTheme="minorHAnsi"/>
        </w:rPr>
      </w:pPr>
      <w:r w:rsidRPr="006D6E8B">
        <w:rPr>
          <w:rFonts w:asciiTheme="minorHAnsi" w:hAnsiTheme="minorHAnsi"/>
        </w:rPr>
        <w:t>Examine racial, ethnic and socio-economic disparities to healthy, affordable, foods and adopt strate</w:t>
      </w:r>
      <w:r>
        <w:rPr>
          <w:rFonts w:asciiTheme="minorHAnsi" w:hAnsiTheme="minorHAnsi"/>
        </w:rPr>
        <w:t>gies to remedy these inequities.</w:t>
      </w:r>
    </w:p>
    <w:p w14:paraId="41296517" w14:textId="77777777" w:rsidR="006D6E8B" w:rsidRPr="00BF5EA0" w:rsidRDefault="006D6E8B" w:rsidP="00BF5EA0">
      <w:pPr>
        <w:rPr>
          <w:rFonts w:asciiTheme="minorHAnsi" w:hAnsiTheme="minorHAnsi"/>
          <w:b/>
        </w:rPr>
      </w:pPr>
    </w:p>
    <w:p w14:paraId="6C17F4F3" w14:textId="77777777" w:rsidR="006D6E8B" w:rsidRPr="00431E44" w:rsidRDefault="006D6E8B" w:rsidP="006D6E8B">
      <w:pPr>
        <w:pStyle w:val="ListParagraph"/>
        <w:numPr>
          <w:ilvl w:val="0"/>
          <w:numId w:val="2"/>
        </w:numPr>
        <w:rPr>
          <w:rFonts w:asciiTheme="minorHAnsi" w:hAnsiTheme="minorHAnsi"/>
          <w:b/>
        </w:rPr>
      </w:pPr>
      <w:r w:rsidRPr="00431E44">
        <w:rPr>
          <w:rFonts w:asciiTheme="minorHAnsi" w:hAnsiTheme="minorHAnsi"/>
          <w:b/>
        </w:rPr>
        <w:t>Workplace Wellness</w:t>
      </w:r>
    </w:p>
    <w:p w14:paraId="6E1D070F" w14:textId="77777777" w:rsidR="006D6E8B" w:rsidRPr="00431E44" w:rsidRDefault="006D6E8B" w:rsidP="006D6E8B">
      <w:pPr>
        <w:rPr>
          <w:rFonts w:asciiTheme="minorHAnsi" w:hAnsiTheme="minorHAnsi"/>
        </w:rPr>
      </w:pPr>
    </w:p>
    <w:p w14:paraId="6AA4C328" w14:textId="77777777" w:rsidR="006D6E8B" w:rsidRDefault="006D6E8B" w:rsidP="006D6E8B">
      <w:pPr>
        <w:rPr>
          <w:rFonts w:asciiTheme="minorHAnsi" w:hAnsiTheme="minorHAnsi"/>
        </w:rPr>
      </w:pPr>
      <w:r w:rsidRPr="00431E44">
        <w:rPr>
          <w:rFonts w:asciiTheme="minorHAnsi" w:hAnsiTheme="minorHAnsi"/>
          <w:b/>
        </w:rPr>
        <w:t>BE IT FURTHER RESOLVED</w:t>
      </w:r>
      <w:r w:rsidRPr="00431E44">
        <w:rPr>
          <w:rFonts w:asciiTheme="minorHAnsi" w:hAnsiTheme="minorHAnsi"/>
        </w:rPr>
        <w:t xml:space="preserve"> that in order to promot</w:t>
      </w:r>
      <w:r>
        <w:rPr>
          <w:rFonts w:asciiTheme="minorHAnsi" w:hAnsiTheme="minorHAnsi"/>
        </w:rPr>
        <w:t>e wellness within the City of Camden</w:t>
      </w:r>
      <w:r w:rsidRPr="00431E44">
        <w:rPr>
          <w:rFonts w:asciiTheme="minorHAnsi" w:hAnsiTheme="minorHAnsi"/>
        </w:rPr>
        <w:t xml:space="preserve">, and to set an example for </w:t>
      </w:r>
      <w:r>
        <w:rPr>
          <w:rFonts w:asciiTheme="minorHAnsi" w:hAnsiTheme="minorHAnsi"/>
        </w:rPr>
        <w:t>other businesses, the City of Camden</w:t>
      </w:r>
      <w:r w:rsidRPr="00431E44">
        <w:rPr>
          <w:rFonts w:asciiTheme="minorHAnsi" w:hAnsiTheme="minorHAnsi"/>
        </w:rPr>
        <w:t xml:space="preserve"> pledges to adopt and implement a workplace wellness policy that will: </w:t>
      </w:r>
    </w:p>
    <w:p w14:paraId="4DDFC759" w14:textId="77777777" w:rsidR="006D6E8B" w:rsidRDefault="006D6E8B" w:rsidP="006D6E8B">
      <w:pPr>
        <w:rPr>
          <w:rFonts w:asciiTheme="minorHAnsi" w:hAnsiTheme="minorHAnsi"/>
        </w:rPr>
      </w:pPr>
    </w:p>
    <w:p w14:paraId="137B5387" w14:textId="70586761" w:rsidR="006D6E8B" w:rsidRDefault="00BF5EA0" w:rsidP="006D6E8B">
      <w:pPr>
        <w:pStyle w:val="ListParagraph"/>
        <w:numPr>
          <w:ilvl w:val="0"/>
          <w:numId w:val="7"/>
        </w:numPr>
        <w:ind w:left="450"/>
        <w:rPr>
          <w:rFonts w:asciiTheme="minorHAnsi" w:hAnsiTheme="minorHAnsi"/>
        </w:rPr>
      </w:pPr>
      <w:r>
        <w:rPr>
          <w:rFonts w:asciiTheme="minorHAnsi" w:hAnsiTheme="minorHAnsi"/>
        </w:rPr>
        <w:t>Support and encourage community based organizations, institutions, schools and city government to adopt workplace wellness programs that include comprehensive nutrition and physical activity standards for employees including support and proper accommodati</w:t>
      </w:r>
      <w:r w:rsidR="000339C3">
        <w:rPr>
          <w:rFonts w:asciiTheme="minorHAnsi" w:hAnsiTheme="minorHAnsi"/>
        </w:rPr>
        <w:t xml:space="preserve">on for breastfeeding mothers; </w:t>
      </w:r>
    </w:p>
    <w:p w14:paraId="1DDB29A3" w14:textId="29E80BD1"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E</w:t>
      </w:r>
      <w:r>
        <w:rPr>
          <w:rFonts w:asciiTheme="minorHAnsi" w:hAnsiTheme="minorHAnsi"/>
        </w:rPr>
        <w:t>ncourage</w:t>
      </w:r>
      <w:r w:rsidRPr="000339C3">
        <w:rPr>
          <w:rFonts w:asciiTheme="minorHAnsi" w:hAnsiTheme="minorHAnsi"/>
        </w:rPr>
        <w:t xml:space="preserve"> physical activity breaks during non-discretionary time during the workday, including meetings over one hour in length;</w:t>
      </w:r>
    </w:p>
    <w:p w14:paraId="7BD90743" w14:textId="79AD3929"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Accommodate breastfeeding employees upon their return to work;</w:t>
      </w:r>
    </w:p>
    <w:p w14:paraId="4FF88642" w14:textId="72F55AF3"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Encourage walking meetings and use of stairways;</w:t>
      </w:r>
    </w:p>
    <w:p w14:paraId="0C4361A1" w14:textId="49AF20AD"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Encourage active transportation between city facilities, for example walking and bicycling routes and amenities;</w:t>
      </w:r>
    </w:p>
    <w:p w14:paraId="10051430" w14:textId="5E856530"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Set nutrition standards for vending machines located in city owned or leased locations;</w:t>
      </w:r>
    </w:p>
    <w:p w14:paraId="2DE43FD8" w14:textId="3E87C232" w:rsidR="000339C3" w:rsidRPr="000339C3" w:rsidRDefault="000339C3" w:rsidP="000339C3">
      <w:pPr>
        <w:pStyle w:val="ListParagraph"/>
        <w:numPr>
          <w:ilvl w:val="0"/>
          <w:numId w:val="7"/>
        </w:numPr>
        <w:ind w:left="450"/>
        <w:rPr>
          <w:rFonts w:asciiTheme="minorHAnsi" w:hAnsiTheme="minorHAnsi"/>
        </w:rPr>
      </w:pPr>
      <w:r w:rsidRPr="000339C3">
        <w:rPr>
          <w:rFonts w:asciiTheme="minorHAnsi" w:hAnsiTheme="minorHAnsi"/>
        </w:rPr>
        <w:t xml:space="preserve">Set nutrition standards for food offered at city events, city sponsored meetings, served at city facilities and city concessions, and city programs. </w:t>
      </w:r>
    </w:p>
    <w:p w14:paraId="180BF5A3" w14:textId="36DD7D4B" w:rsidR="000339C3" w:rsidRPr="00741FBB" w:rsidRDefault="000339C3" w:rsidP="000339C3">
      <w:pPr>
        <w:pStyle w:val="ListParagraph"/>
        <w:numPr>
          <w:ilvl w:val="0"/>
          <w:numId w:val="7"/>
        </w:numPr>
        <w:ind w:left="450"/>
        <w:rPr>
          <w:rFonts w:asciiTheme="minorHAnsi" w:hAnsiTheme="minorHAnsi"/>
        </w:rPr>
      </w:pPr>
      <w:r w:rsidRPr="00741FBB">
        <w:rPr>
          <w:rFonts w:asciiTheme="minorHAnsi" w:hAnsiTheme="minorHAnsi"/>
        </w:rPr>
        <w:t>Ensure availability of plain, drinkable water throughout the day</w:t>
      </w:r>
      <w:r w:rsidR="000F3F03" w:rsidRPr="00741FBB">
        <w:rPr>
          <w:rFonts w:asciiTheme="minorHAnsi" w:hAnsiTheme="minorHAnsi"/>
        </w:rPr>
        <w:t>;</w:t>
      </w:r>
    </w:p>
    <w:p w14:paraId="362FA96C" w14:textId="5D7A4608" w:rsidR="000F3F03" w:rsidRPr="00741FBB" w:rsidRDefault="000F3F03" w:rsidP="000F3F03">
      <w:pPr>
        <w:pStyle w:val="ListParagraph"/>
        <w:numPr>
          <w:ilvl w:val="0"/>
          <w:numId w:val="7"/>
        </w:numPr>
        <w:ind w:left="450"/>
        <w:rPr>
          <w:rFonts w:asciiTheme="minorHAnsi" w:hAnsiTheme="minorHAnsi"/>
        </w:rPr>
      </w:pPr>
      <w:r w:rsidRPr="00741FBB">
        <w:rPr>
          <w:rFonts w:asciiTheme="minorHAnsi" w:hAnsiTheme="minorHAnsi"/>
        </w:rPr>
        <w:t xml:space="preserve">Adopt comprehensive tobacco-free policies which prohibit tobacco use (including cigars, e-cigarettes, vaping devices, Hookah, and smokeless tobacco) on workplace and college campuses and including support for communication and cessation systems.  </w:t>
      </w:r>
    </w:p>
    <w:p w14:paraId="20CB06DE" w14:textId="77777777" w:rsidR="006D6E8B" w:rsidRPr="00431E44" w:rsidRDefault="006D6E8B" w:rsidP="006D6E8B">
      <w:pPr>
        <w:rPr>
          <w:rFonts w:asciiTheme="minorHAnsi" w:hAnsiTheme="minorHAnsi"/>
        </w:rPr>
      </w:pPr>
    </w:p>
    <w:p w14:paraId="27D33137" w14:textId="77777777" w:rsidR="006D6E8B" w:rsidRPr="00431E44" w:rsidRDefault="006D6E8B" w:rsidP="006D6E8B">
      <w:pPr>
        <w:pStyle w:val="ListParagraph"/>
        <w:numPr>
          <w:ilvl w:val="0"/>
          <w:numId w:val="2"/>
        </w:numPr>
        <w:rPr>
          <w:rFonts w:asciiTheme="minorHAnsi" w:hAnsiTheme="minorHAnsi"/>
          <w:b/>
        </w:rPr>
      </w:pPr>
      <w:r w:rsidRPr="00431E44">
        <w:rPr>
          <w:rFonts w:asciiTheme="minorHAnsi" w:hAnsiTheme="minorHAnsi"/>
          <w:b/>
        </w:rPr>
        <w:t>Implementation</w:t>
      </w:r>
    </w:p>
    <w:p w14:paraId="6C13D827" w14:textId="77777777" w:rsidR="006D6E8B" w:rsidRPr="00431E44" w:rsidRDefault="006D6E8B" w:rsidP="006D6E8B">
      <w:pPr>
        <w:pStyle w:val="ListParagraph"/>
        <w:ind w:left="1080"/>
        <w:rPr>
          <w:rFonts w:asciiTheme="minorHAnsi" w:hAnsiTheme="minorHAnsi"/>
          <w:b/>
        </w:rPr>
      </w:pPr>
    </w:p>
    <w:p w14:paraId="4AA6DF76" w14:textId="78047E08" w:rsidR="000339C3" w:rsidRDefault="006D6E8B">
      <w:pPr>
        <w:rPr>
          <w:rFonts w:asciiTheme="minorHAnsi" w:hAnsiTheme="minorHAnsi"/>
        </w:rPr>
      </w:pPr>
      <w:r w:rsidRPr="00431E44">
        <w:rPr>
          <w:rFonts w:asciiTheme="minorHAnsi" w:hAnsiTheme="minorHAnsi"/>
          <w:b/>
        </w:rPr>
        <w:t>BE IT FURTHER RESOLVED</w:t>
      </w:r>
      <w:r w:rsidRPr="00431E44">
        <w:rPr>
          <w:rFonts w:asciiTheme="minorHAnsi" w:hAnsiTheme="minorHAnsi"/>
        </w:rPr>
        <w:t xml:space="preserve"> that the head of each affected agency or department should report back to the City Council annually regarding steps taken to implement the Resolution, additional steps planned, and any desired actions that would</w:t>
      </w:r>
      <w:r w:rsidR="000339C3">
        <w:rPr>
          <w:rFonts w:asciiTheme="minorHAnsi" w:hAnsiTheme="minorHAnsi"/>
        </w:rPr>
        <w:t xml:space="preserve"> need to be taken by the council. </w:t>
      </w:r>
    </w:p>
    <w:p w14:paraId="05CBD705" w14:textId="77777777" w:rsidR="000339C3" w:rsidRDefault="000339C3">
      <w:pPr>
        <w:rPr>
          <w:rFonts w:asciiTheme="minorHAnsi" w:hAnsiTheme="minorHAnsi"/>
        </w:rPr>
      </w:pPr>
    </w:p>
    <w:p w14:paraId="559D9109" w14:textId="77777777" w:rsidR="000339C3" w:rsidRDefault="000339C3"/>
    <w:p w14:paraId="2C896617" w14:textId="77777777" w:rsidR="006D6E8B" w:rsidRDefault="006D6E8B" w:rsidP="006D6E8B">
      <w:pPr>
        <w:rPr>
          <w:rFonts w:asciiTheme="minorHAnsi" w:hAnsiTheme="minorHAnsi"/>
          <w:b/>
        </w:rPr>
      </w:pPr>
      <w:r w:rsidRPr="00431E44">
        <w:rPr>
          <w:rFonts w:asciiTheme="minorHAnsi" w:hAnsiTheme="minorHAnsi"/>
          <w:b/>
        </w:rPr>
        <w:t>___________________________________________________________</w:t>
      </w:r>
      <w:r>
        <w:rPr>
          <w:rFonts w:asciiTheme="minorHAnsi" w:hAnsiTheme="minorHAnsi"/>
          <w:b/>
        </w:rPr>
        <w:t>_______________________________</w:t>
      </w:r>
    </w:p>
    <w:p w14:paraId="2E1E38EE" w14:textId="77777777" w:rsidR="006D6E8B" w:rsidRPr="00BF5EA0" w:rsidRDefault="006D6E8B" w:rsidP="006D6E8B">
      <w:pPr>
        <w:rPr>
          <w:rFonts w:asciiTheme="minorHAnsi" w:hAnsiTheme="minorHAnsi"/>
          <w:b/>
          <w:color w:val="000000" w:themeColor="text1"/>
          <w:u w:val="single"/>
        </w:rPr>
      </w:pPr>
      <w:r w:rsidRPr="00BF5EA0">
        <w:rPr>
          <w:rFonts w:asciiTheme="minorHAnsi" w:hAnsiTheme="minorHAnsi"/>
          <w:b/>
          <w:u w:val="single"/>
        </w:rPr>
        <w:t xml:space="preserve">References: </w:t>
      </w:r>
    </w:p>
    <w:p w14:paraId="587ABB41" w14:textId="77777777" w:rsidR="006D6E8B" w:rsidRPr="00BF5EA0" w:rsidRDefault="006D6E8B" w:rsidP="006D6E8B">
      <w:pPr>
        <w:rPr>
          <w:rFonts w:asciiTheme="minorHAnsi" w:hAnsiTheme="minorHAnsi"/>
          <w:b/>
          <w:color w:val="000000" w:themeColor="text1"/>
        </w:rPr>
      </w:pPr>
    </w:p>
    <w:p w14:paraId="776EA0AD"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color w:val="000000" w:themeColor="text1"/>
          <w:sz w:val="18"/>
          <w:szCs w:val="18"/>
        </w:rPr>
        <w:t xml:space="preserve">Olshansky SJ, Passaro DJ, Hershow RC, Layden J, Carnes BA, Brody J, Hayflick L, Butler RN, Allison DB, and Ludwig DS, “A Potential Decline in Life Expectancy in the United States in the 21st Century,” </w:t>
      </w:r>
      <w:r w:rsidRPr="00BF5EA0">
        <w:rPr>
          <w:i/>
          <w:iCs/>
          <w:color w:val="000000" w:themeColor="text1"/>
          <w:sz w:val="18"/>
          <w:szCs w:val="18"/>
        </w:rPr>
        <w:t>New England Journal of Medicine</w:t>
      </w:r>
      <w:r w:rsidRPr="00BF5EA0">
        <w:rPr>
          <w:color w:val="000000" w:themeColor="text1"/>
          <w:sz w:val="18"/>
          <w:szCs w:val="18"/>
        </w:rPr>
        <w:t>, 352:11, pp. 1138-1145.</w:t>
      </w:r>
    </w:p>
    <w:p w14:paraId="6A16F48C"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color w:val="000000" w:themeColor="text1"/>
          <w:sz w:val="18"/>
          <w:szCs w:val="18"/>
        </w:rPr>
        <w:t xml:space="preserve">Rosenbloom, AL. </w:t>
      </w:r>
      <w:r w:rsidRPr="00BF5EA0">
        <w:rPr>
          <w:i/>
          <w:color w:val="000000" w:themeColor="text1"/>
          <w:sz w:val="18"/>
          <w:szCs w:val="18"/>
        </w:rPr>
        <w:t>Increasing incidence of type 2 diabetes in children and adolescents: treatment considerations.</w:t>
      </w:r>
      <w:r w:rsidRPr="00BF5EA0">
        <w:rPr>
          <w:color w:val="000000" w:themeColor="text1"/>
          <w:sz w:val="18"/>
          <w:szCs w:val="18"/>
        </w:rPr>
        <w:t>Pediatric Drugs.</w:t>
      </w:r>
      <w:r w:rsidRPr="00BF5EA0">
        <w:rPr>
          <w:i/>
          <w:color w:val="000000" w:themeColor="text1"/>
          <w:sz w:val="18"/>
          <w:szCs w:val="18"/>
        </w:rPr>
        <w:t>2002;4(4)209-21.</w:t>
      </w:r>
    </w:p>
    <w:p w14:paraId="0DB087B0"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Style w:val="HTMLCite"/>
          <w:color w:val="000000" w:themeColor="text1"/>
          <w:sz w:val="18"/>
          <w:szCs w:val="18"/>
        </w:rPr>
        <w:t xml:space="preserve">Sallis JF, Glanz K. Physical activity and food environments: solutions to the obesity epidemic. </w:t>
      </w:r>
      <w:hyperlink r:id="rId7" w:tooltip="Physical activity and food environments: solutions to the obesity epidemic" w:history="1">
        <w:r w:rsidRPr="00BF5EA0">
          <w:rPr>
            <w:rStyle w:val="Emphasis"/>
            <w:color w:val="000000" w:themeColor="text1"/>
            <w:sz w:val="18"/>
            <w:szCs w:val="18"/>
            <w:u w:val="single"/>
          </w:rPr>
          <w:t>Milbank Q</w:t>
        </w:r>
      </w:hyperlink>
      <w:r w:rsidRPr="00BF5EA0">
        <w:rPr>
          <w:rStyle w:val="HTMLCite"/>
          <w:color w:val="000000" w:themeColor="text1"/>
          <w:sz w:val="18"/>
          <w:szCs w:val="18"/>
        </w:rPr>
        <w:t>. 2009;87:123-54.</w:t>
      </w:r>
    </w:p>
    <w:p w14:paraId="485222D5"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color w:val="000000" w:themeColor="text1"/>
          <w:sz w:val="18"/>
          <w:szCs w:val="18"/>
        </w:rPr>
        <w:t>Malik VS, Popkin BM, Bray GA, Despres JP, Willett WC, Hu FB. Sugar-sweetened beverages and risk of metabolic syndrome and type 2 diabetes: a meta-analysis. Diabetes Care. 2010;33(11):2477-2483</w:t>
      </w:r>
    </w:p>
    <w:p w14:paraId="120F328D"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color w:val="000000" w:themeColor="text1"/>
          <w:sz w:val="18"/>
          <w:szCs w:val="18"/>
        </w:rPr>
        <w:t>Morenga LT, Mallard S, Mann J. Dietary sugars and body weight: systematic review and meta-analyses of randomized controlled trials and cohort studies. Brit Med J. Jan 15 2013;346.</w:t>
      </w:r>
    </w:p>
    <w:p w14:paraId="6C1317A6" w14:textId="77777777" w:rsidR="006D6E8B" w:rsidRPr="00BF5EA0" w:rsidRDefault="006D6E8B" w:rsidP="006D6E8B">
      <w:pPr>
        <w:pStyle w:val="ListParagraph"/>
        <w:numPr>
          <w:ilvl w:val="0"/>
          <w:numId w:val="3"/>
        </w:numPr>
        <w:rPr>
          <w:rFonts w:asciiTheme="minorHAnsi" w:hAnsiTheme="minorHAnsi"/>
          <w:color w:val="000000" w:themeColor="text1"/>
          <w:sz w:val="18"/>
          <w:szCs w:val="18"/>
        </w:rPr>
      </w:pPr>
      <w:r w:rsidRPr="00BF5EA0">
        <w:rPr>
          <w:rFonts w:asciiTheme="minorHAnsi" w:hAnsiTheme="minorHAnsi"/>
          <w:color w:val="000000" w:themeColor="text1"/>
          <w:sz w:val="18"/>
          <w:szCs w:val="18"/>
        </w:rPr>
        <w:t xml:space="preserve">Trust for America’s Health and Robert Wood Johnson Foundation. F as in Fat: How Obesity Threatens America’s Future-Fast Facts: Obesity and Health. 2013. Accessed January 15, 2014 at </w:t>
      </w:r>
      <w:hyperlink r:id="rId8" w:history="1">
        <w:r w:rsidRPr="00BF5EA0">
          <w:rPr>
            <w:rStyle w:val="Hyperlink"/>
            <w:rFonts w:asciiTheme="minorHAnsi" w:hAnsiTheme="minorHAnsi"/>
            <w:color w:val="000000" w:themeColor="text1"/>
            <w:sz w:val="18"/>
            <w:szCs w:val="18"/>
          </w:rPr>
          <w:t>http://fasinfat.org/facts-on-obesity-and-health</w:t>
        </w:r>
      </w:hyperlink>
      <w:r w:rsidRPr="00BF5EA0">
        <w:rPr>
          <w:rFonts w:asciiTheme="minorHAnsi" w:hAnsiTheme="minorHAnsi"/>
          <w:color w:val="000000" w:themeColor="text1"/>
          <w:sz w:val="18"/>
          <w:szCs w:val="18"/>
        </w:rPr>
        <w:t xml:space="preserve"> </w:t>
      </w:r>
    </w:p>
    <w:p w14:paraId="337F1FA3"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Ogden CL, Caroll MD, Kit BK, Flegal KM. Prevalence of childhood and adult diabetes in the United States, 2011-2012.</w:t>
      </w:r>
      <w:r w:rsidRPr="00BF5EA0">
        <w:rPr>
          <w:rFonts w:asciiTheme="minorHAnsi" w:hAnsiTheme="minorHAnsi"/>
          <w:i/>
          <w:color w:val="000000" w:themeColor="text1"/>
          <w:sz w:val="18"/>
          <w:szCs w:val="18"/>
        </w:rPr>
        <w:t>Journal of the American Medical Association</w:t>
      </w:r>
      <w:r w:rsidRPr="00BF5EA0">
        <w:rPr>
          <w:rFonts w:asciiTheme="minorHAnsi" w:hAnsiTheme="minorHAnsi"/>
          <w:color w:val="000000" w:themeColor="text1"/>
          <w:sz w:val="18"/>
          <w:szCs w:val="18"/>
        </w:rPr>
        <w:t>2014;311(8):806-814</w:t>
      </w:r>
    </w:p>
    <w:p w14:paraId="2EED6C15"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National Center for Health Statistics. Health, United States, 2011: With Special Features on Socioeconomic Status and Health. Hyattsville, MD; U.S. Department of Health and Human Services; 2012.</w:t>
      </w:r>
    </w:p>
    <w:p w14:paraId="6558407C"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Centers for Disease Control and Prevention, Childhood Obesity Facts, ww.cdc.gov/healthyyouth/obesity/facts.htm</w:t>
      </w:r>
    </w:p>
    <w:p w14:paraId="05AED39B"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 xml:space="preserve">Wang Y and Bedoun MA.”The Obesity Epidemic in the United States—Gender, Age, Socioeconomic, Racial/Ethnic, and Geographic Characteristics: A Systematic Review and Meta-Regression Analysis.” Epidemiologic Reviews 29(1):6-28, 2007. Available at: </w:t>
      </w:r>
      <w:hyperlink r:id="rId9" w:history="1">
        <w:r w:rsidRPr="00BF5EA0">
          <w:rPr>
            <w:rStyle w:val="Hyperlink"/>
            <w:rFonts w:asciiTheme="minorHAnsi" w:hAnsiTheme="minorHAnsi"/>
            <w:color w:val="000000" w:themeColor="text1"/>
            <w:sz w:val="18"/>
            <w:szCs w:val="18"/>
          </w:rPr>
          <w:t>http://epirev.oxfordjournals.org/content/29/1/6.full.pdf+html</w:t>
        </w:r>
      </w:hyperlink>
    </w:p>
    <w:p w14:paraId="1EF88CC5"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 xml:space="preserve">Braveman PA, Cubbin C, Egerter S, et al. “Socioeconomic Disparities in Health in the United States: What the Patterns Tell Us.” American Journal of Public Health 100(S1):S186-S196, 2010. Available at: </w:t>
      </w:r>
      <w:hyperlink r:id="rId10" w:history="1">
        <w:r w:rsidRPr="00BF5EA0">
          <w:rPr>
            <w:rStyle w:val="Hyperlink"/>
            <w:rFonts w:asciiTheme="minorHAnsi" w:hAnsiTheme="minorHAnsi"/>
            <w:color w:val="000000" w:themeColor="text1"/>
            <w:sz w:val="18"/>
            <w:szCs w:val="18"/>
          </w:rPr>
          <w:t>http://ajph.aphapublications.org/doi/pdf/10.2105/AJPH.2009.166082</w:t>
        </w:r>
      </w:hyperlink>
    </w:p>
    <w:p w14:paraId="403D2288"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Babey SH, Jones M, Yu H, Goldstein H. Bubbling Over: Soda Consumption and its Link to Obesity in California. UCLA Center for Policy Research and California Center for Public Health Advocacy, 2009.</w:t>
      </w:r>
    </w:p>
    <w:p w14:paraId="04628165" w14:textId="77777777" w:rsidR="006D6E8B" w:rsidRPr="00BF5EA0" w:rsidRDefault="006D6E8B"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 xml:space="preserve">Liquid Candy: How soft drinks are harming America’s health. Center for Science in the Public Interest. 2005. Available at: </w:t>
      </w:r>
      <w:hyperlink r:id="rId11" w:history="1">
        <w:r w:rsidRPr="00BF5EA0">
          <w:rPr>
            <w:rStyle w:val="Hyperlink"/>
            <w:rFonts w:asciiTheme="minorHAnsi" w:hAnsiTheme="minorHAnsi"/>
            <w:color w:val="000000" w:themeColor="text1"/>
            <w:sz w:val="18"/>
            <w:szCs w:val="18"/>
          </w:rPr>
          <w:t>http://cspinet.org/new/pdf/liquidcandyfinalwnewsupplement.pdf</w:t>
        </w:r>
      </w:hyperlink>
    </w:p>
    <w:p w14:paraId="308F9074" w14:textId="47660D9A" w:rsidR="00BF5EA0" w:rsidRPr="00BF5EA0" w:rsidRDefault="00BF5EA0" w:rsidP="006D6E8B">
      <w:pPr>
        <w:pStyle w:val="ListParagraph"/>
        <w:numPr>
          <w:ilvl w:val="0"/>
          <w:numId w:val="3"/>
        </w:numPr>
        <w:rPr>
          <w:rFonts w:asciiTheme="minorHAnsi" w:hAnsiTheme="minorHAnsi"/>
          <w:b/>
          <w:color w:val="000000" w:themeColor="text1"/>
          <w:sz w:val="18"/>
          <w:szCs w:val="18"/>
        </w:rPr>
      </w:pPr>
      <w:r w:rsidRPr="00BF5EA0">
        <w:rPr>
          <w:rFonts w:asciiTheme="minorHAnsi" w:hAnsiTheme="minorHAnsi"/>
          <w:color w:val="000000" w:themeColor="text1"/>
          <w:sz w:val="18"/>
          <w:szCs w:val="18"/>
        </w:rPr>
        <w:t xml:space="preserve">Rutgers Center for State Health Policy: New Jersey Childhood Obesity Study Camden Chart Book-Summer 2010. </w:t>
      </w:r>
    </w:p>
    <w:p w14:paraId="7D88A14F" w14:textId="77777777" w:rsidR="006D6E8B" w:rsidRDefault="006D6E8B" w:rsidP="006D6E8B">
      <w:pPr>
        <w:rPr>
          <w:rFonts w:asciiTheme="minorHAnsi" w:hAnsiTheme="minorHAnsi"/>
          <w:b/>
        </w:rPr>
      </w:pPr>
    </w:p>
    <w:p w14:paraId="7DA15818" w14:textId="77777777" w:rsidR="006D6E8B" w:rsidRDefault="006D6E8B"/>
    <w:sectPr w:rsidR="006D6E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EC57" w14:textId="77777777" w:rsidR="00292625" w:rsidRDefault="00292625" w:rsidP="006D6E8B">
      <w:r>
        <w:separator/>
      </w:r>
    </w:p>
  </w:endnote>
  <w:endnote w:type="continuationSeparator" w:id="0">
    <w:p w14:paraId="298C84BB" w14:textId="77777777" w:rsidR="00292625" w:rsidRDefault="00292625" w:rsidP="006D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ADB7" w14:textId="77777777" w:rsidR="00857218" w:rsidRDefault="008572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661081"/>
      <w:docPartObj>
        <w:docPartGallery w:val="Page Numbers (Bottom of Page)"/>
        <w:docPartUnique/>
      </w:docPartObj>
    </w:sdtPr>
    <w:sdtEndPr>
      <w:rPr>
        <w:b/>
        <w:noProof/>
      </w:rPr>
    </w:sdtEndPr>
    <w:sdtContent>
      <w:p w14:paraId="28DFED30" w14:textId="77777777" w:rsidR="003D2178" w:rsidRPr="00281ADC" w:rsidRDefault="000B2C96">
        <w:pPr>
          <w:pStyle w:val="Footer"/>
          <w:jc w:val="center"/>
          <w:rPr>
            <w:b/>
          </w:rPr>
        </w:pPr>
        <w:r w:rsidRPr="00281ADC">
          <w:rPr>
            <w:b/>
          </w:rPr>
          <w:fldChar w:fldCharType="begin"/>
        </w:r>
        <w:r w:rsidRPr="00281ADC">
          <w:rPr>
            <w:b/>
          </w:rPr>
          <w:instrText xml:space="preserve"> PAGE   \* MERGEFORMAT </w:instrText>
        </w:r>
        <w:r w:rsidRPr="00281ADC">
          <w:rPr>
            <w:b/>
          </w:rPr>
          <w:fldChar w:fldCharType="separate"/>
        </w:r>
        <w:r w:rsidR="00292625">
          <w:rPr>
            <w:b/>
            <w:noProof/>
          </w:rPr>
          <w:t>1</w:t>
        </w:r>
        <w:r w:rsidRPr="00281ADC">
          <w:rPr>
            <w:b/>
            <w:noProof/>
          </w:rPr>
          <w:fldChar w:fldCharType="end"/>
        </w:r>
      </w:p>
    </w:sdtContent>
  </w:sdt>
  <w:p w14:paraId="319B1E0F" w14:textId="77777777" w:rsidR="003D2178" w:rsidRDefault="002926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AB64" w14:textId="77777777" w:rsidR="00857218" w:rsidRDefault="00857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C6D90" w14:textId="77777777" w:rsidR="00292625" w:rsidRDefault="00292625" w:rsidP="006D6E8B">
      <w:r>
        <w:separator/>
      </w:r>
    </w:p>
  </w:footnote>
  <w:footnote w:type="continuationSeparator" w:id="0">
    <w:p w14:paraId="0CEBA4B2" w14:textId="77777777" w:rsidR="00292625" w:rsidRDefault="00292625" w:rsidP="006D6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5F45" w14:textId="263053F8" w:rsidR="00857218" w:rsidRDefault="008572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0F12" w14:textId="600B2250" w:rsidR="003D2178" w:rsidRDefault="002926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1B0B" w14:textId="27122311" w:rsidR="00857218" w:rsidRDefault="00857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77E"/>
    <w:multiLevelType w:val="hybridMultilevel"/>
    <w:tmpl w:val="0D8A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008B4"/>
    <w:multiLevelType w:val="hybridMultilevel"/>
    <w:tmpl w:val="F8F8DE3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57FC6"/>
    <w:multiLevelType w:val="hybridMultilevel"/>
    <w:tmpl w:val="D128A7A8"/>
    <w:lvl w:ilvl="0" w:tplc="55B6ADF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345D8"/>
    <w:multiLevelType w:val="hybridMultilevel"/>
    <w:tmpl w:val="35E85116"/>
    <w:lvl w:ilvl="0" w:tplc="10143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94138"/>
    <w:multiLevelType w:val="hybridMultilevel"/>
    <w:tmpl w:val="22E86DA4"/>
    <w:lvl w:ilvl="0" w:tplc="BF7EBDE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56013DB7"/>
    <w:multiLevelType w:val="hybridMultilevel"/>
    <w:tmpl w:val="E74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97C0E"/>
    <w:multiLevelType w:val="hybridMultilevel"/>
    <w:tmpl w:val="AC02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8B"/>
    <w:rsid w:val="000339C3"/>
    <w:rsid w:val="000B2C96"/>
    <w:rsid w:val="000F3F03"/>
    <w:rsid w:val="00164B80"/>
    <w:rsid w:val="00190FF2"/>
    <w:rsid w:val="00277423"/>
    <w:rsid w:val="00292625"/>
    <w:rsid w:val="002B0D3B"/>
    <w:rsid w:val="002D0B5B"/>
    <w:rsid w:val="00361A7E"/>
    <w:rsid w:val="004E44FF"/>
    <w:rsid w:val="006D6E8B"/>
    <w:rsid w:val="007129A1"/>
    <w:rsid w:val="00741FBB"/>
    <w:rsid w:val="0077405F"/>
    <w:rsid w:val="007E1D2A"/>
    <w:rsid w:val="00857218"/>
    <w:rsid w:val="009C7498"/>
    <w:rsid w:val="00B665AC"/>
    <w:rsid w:val="00B9570E"/>
    <w:rsid w:val="00BF5EA0"/>
    <w:rsid w:val="00D84D9B"/>
    <w:rsid w:val="00DC0874"/>
    <w:rsid w:val="00E665D0"/>
    <w:rsid w:val="00EB7781"/>
    <w:rsid w:val="00F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B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8B"/>
    <w:pPr>
      <w:widowContro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E8B"/>
    <w:rPr>
      <w:color w:val="0000FF"/>
      <w:u w:val="single"/>
    </w:rPr>
  </w:style>
  <w:style w:type="paragraph" w:styleId="Header">
    <w:name w:val="header"/>
    <w:basedOn w:val="Normal"/>
    <w:link w:val="HeaderChar"/>
    <w:rsid w:val="006D6E8B"/>
    <w:pPr>
      <w:tabs>
        <w:tab w:val="center" w:pos="4320"/>
        <w:tab w:val="right" w:pos="8640"/>
      </w:tabs>
    </w:pPr>
  </w:style>
  <w:style w:type="character" w:customStyle="1" w:styleId="HeaderChar">
    <w:name w:val="Header Char"/>
    <w:basedOn w:val="DefaultParagraphFont"/>
    <w:link w:val="Header"/>
    <w:rsid w:val="006D6E8B"/>
    <w:rPr>
      <w:rFonts w:ascii="Times New Roman" w:eastAsia="Times New Roman" w:hAnsi="Times New Roman" w:cs="Times New Roman"/>
      <w:sz w:val="20"/>
      <w:szCs w:val="20"/>
    </w:rPr>
  </w:style>
  <w:style w:type="table" w:styleId="TableGrid">
    <w:name w:val="Table Grid"/>
    <w:basedOn w:val="TableNormal"/>
    <w:uiPriority w:val="59"/>
    <w:rsid w:val="006D6E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E8B"/>
    <w:pPr>
      <w:ind w:left="720"/>
      <w:contextualSpacing/>
    </w:pPr>
  </w:style>
  <w:style w:type="paragraph" w:styleId="Footer">
    <w:name w:val="footer"/>
    <w:basedOn w:val="Normal"/>
    <w:link w:val="FooterChar"/>
    <w:uiPriority w:val="99"/>
    <w:unhideWhenUsed/>
    <w:rsid w:val="006D6E8B"/>
    <w:pPr>
      <w:tabs>
        <w:tab w:val="center" w:pos="4680"/>
        <w:tab w:val="right" w:pos="9360"/>
      </w:tabs>
    </w:pPr>
  </w:style>
  <w:style w:type="character" w:customStyle="1" w:styleId="FooterChar">
    <w:name w:val="Footer Char"/>
    <w:basedOn w:val="DefaultParagraphFont"/>
    <w:link w:val="Footer"/>
    <w:uiPriority w:val="99"/>
    <w:rsid w:val="006D6E8B"/>
    <w:rPr>
      <w:rFonts w:ascii="Times New Roman" w:eastAsia="Times New Roman" w:hAnsi="Times New Roman" w:cs="Times New Roman"/>
      <w:sz w:val="20"/>
      <w:szCs w:val="20"/>
    </w:rPr>
  </w:style>
  <w:style w:type="character" w:styleId="FootnoteReference">
    <w:name w:val="footnote reference"/>
    <w:basedOn w:val="DefaultParagraphFont"/>
    <w:rsid w:val="006D6E8B"/>
    <w:rPr>
      <w:vertAlign w:val="superscript"/>
    </w:rPr>
  </w:style>
  <w:style w:type="character" w:styleId="HTMLCite">
    <w:name w:val="HTML Cite"/>
    <w:basedOn w:val="DefaultParagraphFont"/>
    <w:uiPriority w:val="99"/>
    <w:unhideWhenUsed/>
    <w:rsid w:val="006D6E8B"/>
    <w:rPr>
      <w:i/>
      <w:iCs/>
    </w:rPr>
  </w:style>
  <w:style w:type="character" w:styleId="Emphasis">
    <w:name w:val="Emphasis"/>
    <w:basedOn w:val="DefaultParagraphFont"/>
    <w:uiPriority w:val="20"/>
    <w:qFormat/>
    <w:rsid w:val="006D6E8B"/>
    <w:rPr>
      <w:i/>
      <w:iCs/>
    </w:rPr>
  </w:style>
  <w:style w:type="paragraph" w:styleId="FootnoteText">
    <w:name w:val="footnote text"/>
    <w:basedOn w:val="Normal"/>
    <w:link w:val="FootnoteTextChar"/>
    <w:uiPriority w:val="99"/>
    <w:semiHidden/>
    <w:unhideWhenUsed/>
    <w:rsid w:val="006D6E8B"/>
  </w:style>
  <w:style w:type="character" w:customStyle="1" w:styleId="FootnoteTextChar">
    <w:name w:val="Footnote Text Char"/>
    <w:basedOn w:val="DefaultParagraphFont"/>
    <w:link w:val="FootnoteText"/>
    <w:uiPriority w:val="99"/>
    <w:semiHidden/>
    <w:rsid w:val="006D6E8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F5EA0"/>
    <w:rPr>
      <w:color w:val="954F72" w:themeColor="followedHyperlink"/>
      <w:u w:val="single"/>
    </w:rPr>
  </w:style>
  <w:style w:type="character" w:styleId="CommentReference">
    <w:name w:val="annotation reference"/>
    <w:basedOn w:val="DefaultParagraphFont"/>
    <w:uiPriority w:val="99"/>
    <w:semiHidden/>
    <w:unhideWhenUsed/>
    <w:rsid w:val="007E1D2A"/>
    <w:rPr>
      <w:sz w:val="18"/>
      <w:szCs w:val="18"/>
    </w:rPr>
  </w:style>
  <w:style w:type="paragraph" w:styleId="CommentText">
    <w:name w:val="annotation text"/>
    <w:basedOn w:val="Normal"/>
    <w:link w:val="CommentTextChar"/>
    <w:uiPriority w:val="99"/>
    <w:semiHidden/>
    <w:unhideWhenUsed/>
    <w:rsid w:val="007E1D2A"/>
    <w:rPr>
      <w:sz w:val="24"/>
      <w:szCs w:val="24"/>
    </w:rPr>
  </w:style>
  <w:style w:type="character" w:customStyle="1" w:styleId="CommentTextChar">
    <w:name w:val="Comment Text Char"/>
    <w:basedOn w:val="DefaultParagraphFont"/>
    <w:link w:val="CommentText"/>
    <w:uiPriority w:val="99"/>
    <w:semiHidden/>
    <w:rsid w:val="007E1D2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E1D2A"/>
    <w:rPr>
      <w:b/>
      <w:bCs/>
      <w:sz w:val="20"/>
      <w:szCs w:val="20"/>
    </w:rPr>
  </w:style>
  <w:style w:type="character" w:customStyle="1" w:styleId="CommentSubjectChar">
    <w:name w:val="Comment Subject Char"/>
    <w:basedOn w:val="CommentTextChar"/>
    <w:link w:val="CommentSubject"/>
    <w:uiPriority w:val="99"/>
    <w:semiHidden/>
    <w:rsid w:val="007E1D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D2A"/>
    <w:rPr>
      <w:sz w:val="18"/>
      <w:szCs w:val="18"/>
    </w:rPr>
  </w:style>
  <w:style w:type="character" w:customStyle="1" w:styleId="BalloonTextChar">
    <w:name w:val="Balloon Text Char"/>
    <w:basedOn w:val="DefaultParagraphFont"/>
    <w:link w:val="BalloonText"/>
    <w:uiPriority w:val="99"/>
    <w:semiHidden/>
    <w:rsid w:val="007E1D2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27551">
      <w:bodyDiv w:val="1"/>
      <w:marLeft w:val="0"/>
      <w:marRight w:val="0"/>
      <w:marTop w:val="0"/>
      <w:marBottom w:val="0"/>
      <w:divBdr>
        <w:top w:val="none" w:sz="0" w:space="0" w:color="auto"/>
        <w:left w:val="none" w:sz="0" w:space="0" w:color="auto"/>
        <w:bottom w:val="none" w:sz="0" w:space="0" w:color="auto"/>
        <w:right w:val="none" w:sz="0" w:space="0" w:color="auto"/>
      </w:divBdr>
      <w:divsChild>
        <w:div w:id="8829800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spinet.org/new/pdf/liquidcandyfinalwnewsupplement.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19298418" TargetMode="External"/><Relationship Id="rId8" Type="http://schemas.openxmlformats.org/officeDocument/2006/relationships/hyperlink" Target="http://fasinfat.org/facts-on-obesity-and-health" TargetMode="External"/><Relationship Id="rId9" Type="http://schemas.openxmlformats.org/officeDocument/2006/relationships/hyperlink" Target="http://epirev.oxfordjournals.org/content/29/1/6.full.pdf+html" TargetMode="External"/><Relationship Id="rId10" Type="http://schemas.openxmlformats.org/officeDocument/2006/relationships/hyperlink" Target="http://ajph.aphapublications.org/doi/pdf/10.2105/AJPH.2009.166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1566</Words>
  <Characters>8931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2016-06-14T13:53:00Z</cp:lastPrinted>
  <dcterms:created xsi:type="dcterms:W3CDTF">2016-06-07T17:41:00Z</dcterms:created>
  <dcterms:modified xsi:type="dcterms:W3CDTF">2016-08-05T14:59:00Z</dcterms:modified>
</cp:coreProperties>
</file>