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F8" w:rsidRPr="005129CB" w:rsidRDefault="005129CB" w:rsidP="005129CB">
      <w:pPr>
        <w:jc w:val="center"/>
        <w:rPr>
          <w:b/>
          <w:sz w:val="24"/>
        </w:rPr>
      </w:pPr>
      <w:r w:rsidRPr="005129CB">
        <w:rPr>
          <w:b/>
          <w:sz w:val="24"/>
        </w:rPr>
        <w:t>Recent Development Applications Reviewed by</w:t>
      </w:r>
      <w:r>
        <w:rPr>
          <w:b/>
          <w:sz w:val="24"/>
        </w:rPr>
        <w:t xml:space="preserve"> the Environmental Commission</w:t>
      </w:r>
    </w:p>
    <w:tbl>
      <w:tblPr>
        <w:tblStyle w:val="TableGrid"/>
        <w:tblpPr w:leftFromText="180" w:rightFromText="180" w:vertAnchor="text" w:horzAnchor="margin" w:tblpX="-252" w:tblpY="390"/>
        <w:tblW w:w="10188" w:type="dxa"/>
        <w:tblLook w:val="04A0"/>
      </w:tblPr>
      <w:tblGrid>
        <w:gridCol w:w="3078"/>
        <w:gridCol w:w="1890"/>
        <w:gridCol w:w="5220"/>
      </w:tblGrid>
      <w:tr w:rsidR="00547EF8" w:rsidRPr="00CC500A" w:rsidTr="00845043">
        <w:tc>
          <w:tcPr>
            <w:tcW w:w="3078" w:type="dxa"/>
          </w:tcPr>
          <w:p w:rsidR="00547EF8" w:rsidRPr="00CC500A" w:rsidRDefault="00547EF8" w:rsidP="00845043">
            <w:pPr>
              <w:rPr>
                <w:b/>
              </w:rPr>
            </w:pPr>
            <w:r w:rsidRPr="00CC500A">
              <w:rPr>
                <w:b/>
              </w:rPr>
              <w:t>Application</w:t>
            </w:r>
          </w:p>
        </w:tc>
        <w:tc>
          <w:tcPr>
            <w:tcW w:w="1890" w:type="dxa"/>
          </w:tcPr>
          <w:p w:rsidR="00547EF8" w:rsidRPr="00CC500A" w:rsidRDefault="00547EF8" w:rsidP="00845043">
            <w:pPr>
              <w:rPr>
                <w:b/>
              </w:rPr>
            </w:pPr>
            <w:r w:rsidRPr="00CC500A">
              <w:rPr>
                <w:b/>
              </w:rPr>
              <w:t>Date</w:t>
            </w:r>
            <w:r w:rsidR="006E2454">
              <w:rPr>
                <w:b/>
              </w:rPr>
              <w:t>s</w:t>
            </w:r>
            <w:r w:rsidRPr="00CC500A">
              <w:rPr>
                <w:b/>
              </w:rPr>
              <w:t xml:space="preserve"> of EC Discussion</w:t>
            </w:r>
          </w:p>
        </w:tc>
        <w:tc>
          <w:tcPr>
            <w:tcW w:w="5220" w:type="dxa"/>
          </w:tcPr>
          <w:p w:rsidR="00547EF8" w:rsidRPr="00CC500A" w:rsidRDefault="00547EF8" w:rsidP="00845043">
            <w:pPr>
              <w:rPr>
                <w:b/>
              </w:rPr>
            </w:pPr>
            <w:r w:rsidRPr="00CC500A">
              <w:rPr>
                <w:b/>
              </w:rPr>
              <w:t>Findings</w:t>
            </w:r>
            <w:r w:rsidR="005D4B53">
              <w:rPr>
                <w:b/>
              </w:rPr>
              <w:t xml:space="preserve"> of Fact and Recommendations</w:t>
            </w:r>
            <w:bookmarkStart w:id="0" w:name="_GoBack"/>
            <w:bookmarkEnd w:id="0"/>
          </w:p>
        </w:tc>
      </w:tr>
      <w:tr w:rsidR="00EB5A81" w:rsidTr="00845043">
        <w:tc>
          <w:tcPr>
            <w:tcW w:w="3078" w:type="dxa"/>
          </w:tcPr>
          <w:p w:rsidR="00EB5A81" w:rsidRDefault="0098189C" w:rsidP="00845043">
            <w:r w:rsidRPr="0098189C">
              <w:t>JET USA, LLC (</w:t>
            </w:r>
            <w:proofErr w:type="spellStart"/>
            <w:r w:rsidRPr="0098189C">
              <w:t>Jeeyar</w:t>
            </w:r>
            <w:proofErr w:type="spellEnd"/>
            <w:r w:rsidRPr="0098189C">
              <w:t>)</w:t>
            </w:r>
          </w:p>
          <w:p w:rsidR="003648B2" w:rsidRDefault="003648B2" w:rsidP="003648B2">
            <w:r>
              <w:t>ZBA 224-12</w:t>
            </w:r>
          </w:p>
        </w:tc>
        <w:tc>
          <w:tcPr>
            <w:tcW w:w="1890" w:type="dxa"/>
          </w:tcPr>
          <w:p w:rsidR="00F24C0B" w:rsidRDefault="00F24C0B" w:rsidP="00845043">
            <w:r>
              <w:t>September, 2013</w:t>
            </w:r>
          </w:p>
          <w:p w:rsidR="00F969A9" w:rsidRDefault="00F969A9" w:rsidP="00845043">
            <w:r>
              <w:t>October, 2013</w:t>
            </w:r>
          </w:p>
          <w:p w:rsidR="00F969A9" w:rsidRDefault="00F969A9" w:rsidP="00845043">
            <w:r>
              <w:t>November, 2013</w:t>
            </w:r>
          </w:p>
          <w:p w:rsidR="00F969A9" w:rsidRDefault="00F969A9" w:rsidP="00845043">
            <w:r>
              <w:t>December, 2013</w:t>
            </w:r>
          </w:p>
          <w:p w:rsidR="00EB5A81" w:rsidRDefault="00F24C0B" w:rsidP="00845043">
            <w:r>
              <w:t>J</w:t>
            </w:r>
            <w:r w:rsidR="008F7703">
              <w:t>anuary, 2014</w:t>
            </w:r>
          </w:p>
          <w:p w:rsidR="00F969A9" w:rsidRDefault="00F969A9" w:rsidP="00845043"/>
          <w:p w:rsidR="008F7703" w:rsidRDefault="008F7703" w:rsidP="00845043"/>
        </w:tc>
        <w:tc>
          <w:tcPr>
            <w:tcW w:w="5220" w:type="dxa"/>
          </w:tcPr>
          <w:p w:rsidR="00EB5A81" w:rsidRDefault="00F24C0B" w:rsidP="0098189C">
            <w:r>
              <w:t>The applicant intends to build a spiritual center on Dey</w:t>
            </w:r>
            <w:r w:rsidR="0098189C">
              <w:t xml:space="preserve"> </w:t>
            </w:r>
            <w:r>
              <w:t>Road.  Site plans indicate the possibility of violations to both state and Township riparian zone ordinances.  Other issues include tree remo</w:t>
            </w:r>
            <w:r w:rsidR="00F969A9">
              <w:t xml:space="preserve">val, the possibility of an undocumented stream, and the existence of vernal pools.   A letter from the EC was submitted to the Zoning Board expressing concerns about the applicant’s possible violations.  Members of the EC also attended the October </w:t>
            </w:r>
            <w:r w:rsidR="00F969A9" w:rsidRPr="008F7703">
              <w:t>Zoning</w:t>
            </w:r>
            <w:r w:rsidR="008F7703" w:rsidRPr="008F7703">
              <w:t xml:space="preserve"> Board </w:t>
            </w:r>
            <w:r w:rsidR="00F969A9">
              <w:t xml:space="preserve">meeting to voice these concerns in person. </w:t>
            </w:r>
          </w:p>
        </w:tc>
      </w:tr>
      <w:tr w:rsidR="00845043" w:rsidTr="00845043">
        <w:tc>
          <w:tcPr>
            <w:tcW w:w="3078" w:type="dxa"/>
          </w:tcPr>
          <w:p w:rsidR="00845043" w:rsidRDefault="00845043" w:rsidP="00845043">
            <w:r>
              <w:t>APCO Petroleum Corporation (Valero Service Center)</w:t>
            </w:r>
          </w:p>
          <w:p w:rsidR="00416A34" w:rsidRDefault="00416A34" w:rsidP="00845043">
            <w:r>
              <w:t>ZBA</w:t>
            </w:r>
            <w:r w:rsidR="003648B2" w:rsidRPr="003648B2">
              <w:t>235-13</w:t>
            </w:r>
          </w:p>
          <w:p w:rsidR="003648B2" w:rsidRPr="00416A34" w:rsidRDefault="003648B2" w:rsidP="00416A34">
            <w:pPr>
              <w:ind w:firstLine="720"/>
            </w:pPr>
          </w:p>
        </w:tc>
        <w:tc>
          <w:tcPr>
            <w:tcW w:w="1890" w:type="dxa"/>
          </w:tcPr>
          <w:p w:rsidR="00845043" w:rsidRDefault="00845043" w:rsidP="00845043">
            <w:r>
              <w:t>February, 2014</w:t>
            </w:r>
          </w:p>
          <w:p w:rsidR="00845043" w:rsidRDefault="00845043" w:rsidP="00845043">
            <w:r>
              <w:t>April, 2014</w:t>
            </w:r>
          </w:p>
          <w:p w:rsidR="00077BB7" w:rsidRDefault="00077BB7" w:rsidP="00845043">
            <w:r>
              <w:t>September, 2014</w:t>
            </w:r>
          </w:p>
          <w:p w:rsidR="00845043" w:rsidRDefault="00077BB7" w:rsidP="00845043">
            <w:r>
              <w:t>October, 2014</w:t>
            </w:r>
          </w:p>
        </w:tc>
        <w:tc>
          <w:tcPr>
            <w:tcW w:w="5220" w:type="dxa"/>
          </w:tcPr>
          <w:p w:rsidR="00845043" w:rsidRDefault="0014613D" w:rsidP="00077BB7">
            <w:r>
              <w:t xml:space="preserve">APCO  is  asking  for  a  variance  of  the town’s  riparian  ordinance  because  the  company  wants  to  build  a  convenience  store  and  parking  lot  that  will  disturb  about  80 feet of the 200-foot buffer to the Millstone River.  </w:t>
            </w:r>
            <w:r w:rsidR="00845043">
              <w:t xml:space="preserve">Mayor Goetz  asked  the  EC  for  advice  </w:t>
            </w:r>
            <w:r>
              <w:t>regarding</w:t>
            </w:r>
            <w:r w:rsidR="00845043">
              <w:t xml:space="preserve">  the  applicant’s  ideas  for  mitigation  and  DEP  approvals.   Andrew Robins from Sills, Cummis &amp; Gross (representing APCO Corp</w:t>
            </w:r>
            <w:r w:rsidR="00077BB7">
              <w:t>) brought</w:t>
            </w:r>
            <w:r w:rsidR="00845043">
              <w:t xml:space="preserve"> maps</w:t>
            </w:r>
            <w:r>
              <w:t xml:space="preserve"> to the EC meeting showing</w:t>
            </w:r>
            <w:r w:rsidR="00845043">
              <w:t xml:space="preserve"> </w:t>
            </w:r>
            <w:r w:rsidR="00077BB7">
              <w:t>the portion</w:t>
            </w:r>
            <w:r>
              <w:t xml:space="preserve"> of the buffer that will be disturbed and the corresponding mitigation area.  </w:t>
            </w:r>
            <w:r w:rsidR="00845043">
              <w:t xml:space="preserve">He  explained  the  storm  water  run-off  controls  and  </w:t>
            </w:r>
            <w:r>
              <w:t xml:space="preserve">traffic  circulation  plans.  </w:t>
            </w:r>
            <w:r w:rsidR="00077BB7">
              <w:t xml:space="preserve">A subset of the EC subsequently walked the site, met with the applicant’s professional team, and approved their mitigation plan.  </w:t>
            </w:r>
          </w:p>
        </w:tc>
      </w:tr>
      <w:tr w:rsidR="00EB5A81" w:rsidTr="00845043">
        <w:tc>
          <w:tcPr>
            <w:tcW w:w="3078" w:type="dxa"/>
          </w:tcPr>
          <w:p w:rsidR="00EB5A81" w:rsidRDefault="00EB5A81" w:rsidP="00845043">
            <w:r>
              <w:t>E2  Project  Management</w:t>
            </w:r>
          </w:p>
          <w:p w:rsidR="00EB5A81" w:rsidRDefault="00EB5A81" w:rsidP="00845043"/>
        </w:tc>
        <w:tc>
          <w:tcPr>
            <w:tcW w:w="1890" w:type="dxa"/>
          </w:tcPr>
          <w:p w:rsidR="00EB5A81" w:rsidRDefault="00EB5A81" w:rsidP="00845043">
            <w:r>
              <w:t>June, 2015</w:t>
            </w:r>
          </w:p>
        </w:tc>
        <w:tc>
          <w:tcPr>
            <w:tcW w:w="5220" w:type="dxa"/>
          </w:tcPr>
          <w:p w:rsidR="00EB5A81" w:rsidRDefault="00EB5A81" w:rsidP="00845043">
            <w:r>
              <w:t xml:space="preserve">Applicant for a wetland disturbed area </w:t>
            </w:r>
            <w:r w:rsidR="00F969A9">
              <w:t xml:space="preserve">for an </w:t>
            </w:r>
            <w:r w:rsidR="00CC500A">
              <w:t>existing cell</w:t>
            </w:r>
            <w:r>
              <w:t xml:space="preserve"> tower on Hightstown Cranbury Station Road.  EC has no comment.  The DEP is working on it.</w:t>
            </w:r>
          </w:p>
        </w:tc>
      </w:tr>
      <w:tr w:rsidR="00EB5A81" w:rsidTr="00845043">
        <w:tc>
          <w:tcPr>
            <w:tcW w:w="3078" w:type="dxa"/>
          </w:tcPr>
          <w:p w:rsidR="003648B2" w:rsidRDefault="003648B2" w:rsidP="003648B2">
            <w:r>
              <w:t xml:space="preserve">High Point Development </w:t>
            </w:r>
          </w:p>
          <w:p w:rsidR="003648B2" w:rsidRDefault="003648B2" w:rsidP="003648B2">
            <w:r>
              <w:t>(Hagerty/Chaney Tract)</w:t>
            </w:r>
          </w:p>
          <w:p w:rsidR="003648B2" w:rsidRDefault="003648B2" w:rsidP="003648B2">
            <w:r>
              <w:t>PB267-15</w:t>
            </w:r>
          </w:p>
          <w:p w:rsidR="003648B2" w:rsidRPr="003648B2" w:rsidRDefault="003648B2" w:rsidP="003648B2">
            <w:pPr>
              <w:ind w:firstLine="720"/>
            </w:pPr>
          </w:p>
        </w:tc>
        <w:tc>
          <w:tcPr>
            <w:tcW w:w="1890" w:type="dxa"/>
          </w:tcPr>
          <w:p w:rsidR="00EB5A81" w:rsidRDefault="005129CB" w:rsidP="00845043">
            <w:r>
              <w:t>November, 2015</w:t>
            </w:r>
          </w:p>
          <w:p w:rsidR="005129CB" w:rsidRDefault="005129CB" w:rsidP="00845043">
            <w:r>
              <w:t>December, 2015</w:t>
            </w:r>
          </w:p>
        </w:tc>
        <w:tc>
          <w:tcPr>
            <w:tcW w:w="5220" w:type="dxa"/>
          </w:tcPr>
          <w:p w:rsidR="00EB5A81" w:rsidRDefault="005129CB" w:rsidP="006E2454">
            <w:r>
              <w:t>The site plan for the Hagerty/Ch</w:t>
            </w:r>
            <w:r w:rsidR="008F7703">
              <w:t>eney property was presented to the Planning Board</w:t>
            </w:r>
            <w:r>
              <w:t>.</w:t>
            </w:r>
            <w:r w:rsidR="008F7703">
              <w:t xml:space="preserve"> </w:t>
            </w:r>
            <w:r>
              <w:t xml:space="preserve"> Mr.</w:t>
            </w:r>
            <w:r w:rsidR="008F7703">
              <w:t xml:space="preserve"> </w:t>
            </w:r>
            <w:r>
              <w:t>Gallagher</w:t>
            </w:r>
            <w:r w:rsidR="008F7703">
              <w:t xml:space="preserve"> </w:t>
            </w:r>
            <w:r>
              <w:t>reported</w:t>
            </w:r>
            <w:r w:rsidR="008F7703">
              <w:t xml:space="preserve"> </w:t>
            </w:r>
            <w:r>
              <w:t>that the</w:t>
            </w:r>
            <w:r w:rsidR="008F7703">
              <w:t xml:space="preserve"> </w:t>
            </w:r>
            <w:r>
              <w:t>applicant’s</w:t>
            </w:r>
            <w:r w:rsidR="008F7703">
              <w:t xml:space="preserve"> </w:t>
            </w:r>
            <w:r>
              <w:t>ERI</w:t>
            </w:r>
            <w:r w:rsidR="008F7703">
              <w:t xml:space="preserve"> </w:t>
            </w:r>
            <w:r>
              <w:t>ignored the environmental</w:t>
            </w:r>
            <w:r w:rsidR="008F7703">
              <w:t xml:space="preserve"> </w:t>
            </w:r>
            <w:r>
              <w:t>remediation</w:t>
            </w:r>
            <w:r w:rsidR="008F7703">
              <w:t xml:space="preserve"> </w:t>
            </w:r>
            <w:r>
              <w:t>issues</w:t>
            </w:r>
            <w:r w:rsidR="008F7703">
              <w:t xml:space="preserve"> </w:t>
            </w:r>
            <w:r>
              <w:t>in</w:t>
            </w:r>
            <w:r w:rsidR="008F7703">
              <w:t xml:space="preserve"> </w:t>
            </w:r>
            <w:r>
              <w:t>their presentation.</w:t>
            </w:r>
            <w:r w:rsidR="008F7703">
              <w:t xml:space="preserve">  </w:t>
            </w:r>
            <w:r>
              <w:t>Dr.</w:t>
            </w:r>
            <w:r w:rsidR="008F7703">
              <w:t xml:space="preserve"> </w:t>
            </w:r>
            <w:r>
              <w:t>Rogers</w:t>
            </w:r>
            <w:r w:rsidR="008F7703">
              <w:t xml:space="preserve"> </w:t>
            </w:r>
            <w:r>
              <w:t>wrote</w:t>
            </w:r>
            <w:r w:rsidR="008F7703">
              <w:t xml:space="preserve"> </w:t>
            </w:r>
            <w:r>
              <w:t>a</w:t>
            </w:r>
            <w:r w:rsidR="008F7703">
              <w:t xml:space="preserve"> </w:t>
            </w:r>
            <w:r>
              <w:t>draft</w:t>
            </w:r>
            <w:r w:rsidR="008F7703">
              <w:t xml:space="preserve"> </w:t>
            </w:r>
            <w:r>
              <w:t>letter for</w:t>
            </w:r>
            <w:r w:rsidR="008F7703">
              <w:t xml:space="preserve"> </w:t>
            </w:r>
            <w:r>
              <w:t>the</w:t>
            </w:r>
            <w:r w:rsidR="008F7703">
              <w:t xml:space="preserve"> </w:t>
            </w:r>
            <w:r>
              <w:t>Planning</w:t>
            </w:r>
            <w:r w:rsidR="008F7703">
              <w:t xml:space="preserve"> </w:t>
            </w:r>
            <w:r>
              <w:t>Board</w:t>
            </w:r>
            <w:r w:rsidR="008F7703">
              <w:t xml:space="preserve"> </w:t>
            </w:r>
            <w:r>
              <w:t>to</w:t>
            </w:r>
            <w:r w:rsidR="008F7703">
              <w:t xml:space="preserve"> </w:t>
            </w:r>
            <w:r>
              <w:t>review</w:t>
            </w:r>
            <w:r w:rsidR="008F7703">
              <w:t xml:space="preserve"> </w:t>
            </w:r>
            <w:r>
              <w:t>on</w:t>
            </w:r>
            <w:r w:rsidR="008F7703">
              <w:t xml:space="preserve"> </w:t>
            </w:r>
            <w:r>
              <w:t>the</w:t>
            </w:r>
            <w:r w:rsidR="008F7703">
              <w:t xml:space="preserve"> </w:t>
            </w:r>
            <w:r>
              <w:t>night</w:t>
            </w:r>
            <w:r w:rsidR="008F7703">
              <w:t xml:space="preserve"> </w:t>
            </w:r>
            <w:r>
              <w:t>of</w:t>
            </w:r>
            <w:r w:rsidR="008F7703">
              <w:t xml:space="preserve"> </w:t>
            </w:r>
            <w:r>
              <w:t>the</w:t>
            </w:r>
            <w:r w:rsidR="008F7703">
              <w:t xml:space="preserve"> </w:t>
            </w:r>
            <w:r>
              <w:t>meeting.</w:t>
            </w:r>
            <w:r w:rsidR="008F7703">
              <w:t xml:space="preserve">  </w:t>
            </w:r>
            <w:r>
              <w:t>The</w:t>
            </w:r>
            <w:r w:rsidR="008F7703">
              <w:t xml:space="preserve"> </w:t>
            </w:r>
            <w:r>
              <w:t>letter</w:t>
            </w:r>
            <w:r w:rsidR="008F7703">
              <w:t xml:space="preserve"> </w:t>
            </w:r>
            <w:r>
              <w:t>listed</w:t>
            </w:r>
            <w:r w:rsidR="008F7703">
              <w:t xml:space="preserve"> </w:t>
            </w:r>
            <w:r>
              <w:t>Area</w:t>
            </w:r>
            <w:r w:rsidR="008F7703">
              <w:t xml:space="preserve"> </w:t>
            </w:r>
            <w:r>
              <w:t>of Concerns and stated that it is the EC’s understanding that the applicant, High Point, will further</w:t>
            </w:r>
            <w:r w:rsidR="008F7703">
              <w:t xml:space="preserve"> </w:t>
            </w:r>
            <w:r>
              <w:t>investigate</w:t>
            </w:r>
            <w:r w:rsidR="008F7703">
              <w:t xml:space="preserve"> </w:t>
            </w:r>
            <w:r>
              <w:t>and</w:t>
            </w:r>
            <w:r w:rsidR="008F7703">
              <w:t xml:space="preserve"> </w:t>
            </w:r>
            <w:r>
              <w:t>remediate</w:t>
            </w:r>
            <w:r w:rsidR="008F7703">
              <w:t xml:space="preserve"> </w:t>
            </w:r>
            <w:r>
              <w:t>certain</w:t>
            </w:r>
            <w:r w:rsidR="008F7703">
              <w:t xml:space="preserve"> </w:t>
            </w:r>
            <w:r>
              <w:t>areas</w:t>
            </w:r>
            <w:r w:rsidR="008F7703">
              <w:t xml:space="preserve"> </w:t>
            </w:r>
            <w:r>
              <w:t>of</w:t>
            </w:r>
            <w:r w:rsidR="008F7703">
              <w:t xml:space="preserve"> </w:t>
            </w:r>
            <w:r>
              <w:t>concern,</w:t>
            </w:r>
            <w:r w:rsidR="008F7703">
              <w:t xml:space="preserve"> </w:t>
            </w:r>
            <w:r>
              <w:t>identified</w:t>
            </w:r>
            <w:r w:rsidR="008F7703">
              <w:t xml:space="preserve"> </w:t>
            </w:r>
            <w:r>
              <w:t>in</w:t>
            </w:r>
            <w:r w:rsidR="008F7703">
              <w:t xml:space="preserve"> </w:t>
            </w:r>
            <w:r>
              <w:t>the</w:t>
            </w:r>
            <w:r w:rsidR="008F7703">
              <w:t xml:space="preserve"> </w:t>
            </w:r>
            <w:r>
              <w:t>letter,</w:t>
            </w:r>
            <w:r w:rsidR="008F7703">
              <w:t xml:space="preserve"> </w:t>
            </w:r>
            <w:r>
              <w:t>to applicable</w:t>
            </w:r>
            <w:r w:rsidR="008F7703">
              <w:t xml:space="preserve"> </w:t>
            </w:r>
            <w:r>
              <w:t>NJEDP</w:t>
            </w:r>
            <w:r w:rsidR="008F7703">
              <w:t xml:space="preserve"> </w:t>
            </w:r>
            <w:r>
              <w:t>standards.</w:t>
            </w:r>
            <w:r w:rsidR="008F7703">
              <w:t xml:space="preserve">  </w:t>
            </w:r>
            <w:r>
              <w:t>A</w:t>
            </w:r>
            <w:r w:rsidR="008F7703">
              <w:t xml:space="preserve"> </w:t>
            </w:r>
            <w:r>
              <w:t>Licensed</w:t>
            </w:r>
            <w:r w:rsidR="008F7703">
              <w:t xml:space="preserve"> </w:t>
            </w:r>
            <w:r>
              <w:t>Site</w:t>
            </w:r>
            <w:r w:rsidR="008F7703">
              <w:t xml:space="preserve"> </w:t>
            </w:r>
            <w:r>
              <w:t>Remediation</w:t>
            </w:r>
            <w:r w:rsidR="008F7703">
              <w:t xml:space="preserve"> </w:t>
            </w:r>
            <w:r w:rsidR="006E2454">
              <w:t xml:space="preserve">Professional (LSRP) </w:t>
            </w:r>
            <w:r>
              <w:t>should be hired to make sure the pr</w:t>
            </w:r>
            <w:r w:rsidR="008F7703">
              <w:t>operty is remediated properly.</w:t>
            </w:r>
          </w:p>
        </w:tc>
      </w:tr>
    </w:tbl>
    <w:p w:rsidR="00CC500A" w:rsidRDefault="00CC500A">
      <w:r>
        <w:br w:type="page"/>
      </w:r>
    </w:p>
    <w:tbl>
      <w:tblPr>
        <w:tblStyle w:val="TableGrid"/>
        <w:tblpPr w:leftFromText="180" w:rightFromText="180" w:vertAnchor="text" w:horzAnchor="margin" w:tblpX="-252" w:tblpY="390"/>
        <w:tblW w:w="10188" w:type="dxa"/>
        <w:tblLook w:val="04A0"/>
      </w:tblPr>
      <w:tblGrid>
        <w:gridCol w:w="3078"/>
        <w:gridCol w:w="1890"/>
        <w:gridCol w:w="5220"/>
      </w:tblGrid>
      <w:tr w:rsidR="00CC500A" w:rsidRPr="00CC500A" w:rsidTr="004B7431">
        <w:tc>
          <w:tcPr>
            <w:tcW w:w="3078" w:type="dxa"/>
          </w:tcPr>
          <w:p w:rsidR="00CC500A" w:rsidRPr="00CC500A" w:rsidRDefault="00CC500A" w:rsidP="00CC500A">
            <w:pPr>
              <w:rPr>
                <w:b/>
              </w:rPr>
            </w:pPr>
            <w:r w:rsidRPr="00CC500A">
              <w:rPr>
                <w:b/>
              </w:rPr>
              <w:lastRenderedPageBreak/>
              <w:t>Application</w:t>
            </w:r>
          </w:p>
        </w:tc>
        <w:tc>
          <w:tcPr>
            <w:tcW w:w="1890" w:type="dxa"/>
          </w:tcPr>
          <w:p w:rsidR="00CC500A" w:rsidRPr="00CC500A" w:rsidRDefault="00CC500A" w:rsidP="00CC500A">
            <w:pPr>
              <w:rPr>
                <w:b/>
              </w:rPr>
            </w:pPr>
            <w:r w:rsidRPr="00CC500A">
              <w:rPr>
                <w:b/>
              </w:rPr>
              <w:t>Date</w:t>
            </w:r>
            <w:r w:rsidR="006E2454">
              <w:rPr>
                <w:b/>
              </w:rPr>
              <w:t>s</w:t>
            </w:r>
            <w:r w:rsidRPr="00CC500A">
              <w:rPr>
                <w:b/>
              </w:rPr>
              <w:t xml:space="preserve"> of EC Discussion</w:t>
            </w:r>
          </w:p>
        </w:tc>
        <w:tc>
          <w:tcPr>
            <w:tcW w:w="5220" w:type="dxa"/>
          </w:tcPr>
          <w:p w:rsidR="00CC500A" w:rsidRPr="00CC500A" w:rsidRDefault="00CC500A" w:rsidP="00CC500A">
            <w:pPr>
              <w:rPr>
                <w:b/>
              </w:rPr>
            </w:pPr>
            <w:r w:rsidRPr="00CC500A">
              <w:rPr>
                <w:b/>
              </w:rPr>
              <w:t>Findings</w:t>
            </w:r>
            <w:r w:rsidR="005D4B53">
              <w:rPr>
                <w:b/>
              </w:rPr>
              <w:t xml:space="preserve"> of Fact and Recommendations</w:t>
            </w:r>
          </w:p>
        </w:tc>
      </w:tr>
      <w:tr w:rsidR="00EB5A81" w:rsidTr="00845043">
        <w:tc>
          <w:tcPr>
            <w:tcW w:w="3078" w:type="dxa"/>
          </w:tcPr>
          <w:p w:rsidR="0098189C" w:rsidRDefault="0098189C" w:rsidP="00845043">
            <w:r>
              <w:t xml:space="preserve">Verde Group </w:t>
            </w:r>
          </w:p>
          <w:p w:rsidR="00EB5A81" w:rsidRDefault="0098189C" w:rsidP="00845043">
            <w:r>
              <w:t>(</w:t>
            </w:r>
            <w:r w:rsidR="00EB5A81" w:rsidRPr="00547EF8">
              <w:t>Cedar Brook Crossing</w:t>
            </w:r>
            <w:r>
              <w:t>)</w:t>
            </w:r>
          </w:p>
          <w:p w:rsidR="003648B2" w:rsidRPr="00547EF8" w:rsidRDefault="000E2800" w:rsidP="00845043">
            <w:r>
              <w:t>ZBA</w:t>
            </w:r>
            <w:r w:rsidR="003648B2" w:rsidRPr="003648B2">
              <w:t>180-10</w:t>
            </w:r>
          </w:p>
        </w:tc>
        <w:tc>
          <w:tcPr>
            <w:tcW w:w="1890" w:type="dxa"/>
          </w:tcPr>
          <w:p w:rsidR="00EB5A81" w:rsidRDefault="00EB5A81" w:rsidP="00845043">
            <w:r>
              <w:t>January, 2016</w:t>
            </w:r>
          </w:p>
          <w:p w:rsidR="00EB5A81" w:rsidRDefault="00EB5A81" w:rsidP="00845043">
            <w:r>
              <w:t>February, 2016</w:t>
            </w:r>
          </w:p>
          <w:p w:rsidR="00EB5A81" w:rsidRDefault="00EB5A81" w:rsidP="00845043">
            <w:r>
              <w:t>March, 2016</w:t>
            </w:r>
          </w:p>
          <w:p w:rsidR="00EB5A81" w:rsidRDefault="00EB5A81" w:rsidP="00845043">
            <w:r>
              <w:t>April, 2016</w:t>
            </w:r>
          </w:p>
          <w:p w:rsidR="00EB5A81" w:rsidRDefault="00EB5A81" w:rsidP="00845043">
            <w:r>
              <w:t xml:space="preserve">May, 2016, </w:t>
            </w:r>
          </w:p>
          <w:p w:rsidR="00EB5A81" w:rsidRPr="00547EF8" w:rsidRDefault="00EB5A81" w:rsidP="00845043">
            <w:r>
              <w:t>June, 2016</w:t>
            </w:r>
          </w:p>
        </w:tc>
        <w:tc>
          <w:tcPr>
            <w:tcW w:w="5220" w:type="dxa"/>
          </w:tcPr>
          <w:p w:rsidR="00EB5A81" w:rsidRPr="00547EF8" w:rsidRDefault="000E2800" w:rsidP="00007874">
            <w:r>
              <w:t xml:space="preserve">The applicant asked the Township for a use variance in order to build a </w:t>
            </w:r>
            <w:proofErr w:type="spellStart"/>
            <w:r>
              <w:t>QuikCheck</w:t>
            </w:r>
            <w:proofErr w:type="spellEnd"/>
            <w:r>
              <w:t xml:space="preserve"> gas station approximately 400 feet from the Cedar Brook.  This </w:t>
            </w:r>
            <w:r w:rsidR="00007874">
              <w:t>applicant</w:t>
            </w:r>
            <w:r>
              <w:t xml:space="preserve"> also </w:t>
            </w:r>
            <w:r w:rsidR="00007874">
              <w:t>requested</w:t>
            </w:r>
            <w:r>
              <w:t xml:space="preserve"> a variance to Cranbury’s Riparian Zone Ordinance</w:t>
            </w:r>
            <w:r w:rsidR="00007874">
              <w:t xml:space="preserve"> for minor, peripheral development that would disturb within the 150’ stream buffer</w:t>
            </w:r>
            <w:r>
              <w:t xml:space="preserve">.  </w:t>
            </w:r>
            <w:r w:rsidR="00007874">
              <w:t xml:space="preserve">Representatives of the applicant attended the February EC Meeting to discuss their site plan.  </w:t>
            </w:r>
            <w:r w:rsidR="00EB5A81">
              <w:t>The EC</w:t>
            </w:r>
            <w:r w:rsidR="008F7703">
              <w:t xml:space="preserve"> </w:t>
            </w:r>
            <w:r w:rsidR="00007874">
              <w:t xml:space="preserve">sent two letters to the Zoning Board recommending (1) granting the RZO variance due to the applicant’s extensive stream buffer mitigation plan, but (2) denying the use variance due to the inherent danger of a gas station in such close proximity to a stream.  </w:t>
            </w:r>
            <w:r w:rsidR="008F7703">
              <w:t xml:space="preserve"> </w:t>
            </w:r>
          </w:p>
        </w:tc>
      </w:tr>
      <w:tr w:rsidR="00EB5A81" w:rsidTr="00845043">
        <w:tc>
          <w:tcPr>
            <w:tcW w:w="3078" w:type="dxa"/>
          </w:tcPr>
          <w:p w:rsidR="00416A34" w:rsidRDefault="00416A34" w:rsidP="00845043">
            <w:r w:rsidRPr="00416A34">
              <w:t>Cranbury Property Management</w:t>
            </w:r>
          </w:p>
          <w:p w:rsidR="00EB5A81" w:rsidRDefault="00416A34" w:rsidP="00845043">
            <w:r>
              <w:t>(</w:t>
            </w:r>
            <w:r w:rsidR="00EB5A81">
              <w:t>Dunkin’ Donuts</w:t>
            </w:r>
            <w:r>
              <w:t>)</w:t>
            </w:r>
          </w:p>
          <w:p w:rsidR="00416A34" w:rsidRPr="00547EF8" w:rsidRDefault="00416A34" w:rsidP="00845043">
            <w:r w:rsidRPr="00416A34">
              <w:t>ZBA280-16</w:t>
            </w:r>
          </w:p>
        </w:tc>
        <w:tc>
          <w:tcPr>
            <w:tcW w:w="1890" w:type="dxa"/>
          </w:tcPr>
          <w:p w:rsidR="00EB5A81" w:rsidRDefault="00EB5A81" w:rsidP="00845043">
            <w:r>
              <w:t>June, 2016</w:t>
            </w:r>
          </w:p>
        </w:tc>
        <w:tc>
          <w:tcPr>
            <w:tcW w:w="5220" w:type="dxa"/>
          </w:tcPr>
          <w:p w:rsidR="00EB5A81" w:rsidRDefault="00EB5A81" w:rsidP="00845043">
            <w:r>
              <w:t xml:space="preserve">The restaurant is proposed for a piece of land on Route 130 that is a brownfield and needs remediation. </w:t>
            </w:r>
            <w:r w:rsidR="006E2454">
              <w:t xml:space="preserve"> The </w:t>
            </w:r>
            <w:r>
              <w:t>Township is</w:t>
            </w:r>
            <w:r w:rsidR="006E2454">
              <w:t xml:space="preserve"> fully</w:t>
            </w:r>
            <w:r>
              <w:t xml:space="preserve"> aware of this.  </w:t>
            </w:r>
            <w:r w:rsidR="000E2800">
              <w:t xml:space="preserve">No other environmental concerns.  </w:t>
            </w:r>
            <w:r>
              <w:t xml:space="preserve">No memo issued.    </w:t>
            </w:r>
          </w:p>
        </w:tc>
      </w:tr>
    </w:tbl>
    <w:p w:rsidR="006244AD" w:rsidRDefault="006244AD" w:rsidP="00547EF8"/>
    <w:p w:rsidR="00547EF8" w:rsidRDefault="00547EF8" w:rsidP="00547EF8"/>
    <w:p w:rsidR="00547EF8" w:rsidRDefault="00547EF8" w:rsidP="00547EF8"/>
    <w:sectPr w:rsidR="00547EF8" w:rsidSect="00CC500A">
      <w:footerReference w:type="default" r:id="rId6"/>
      <w:pgSz w:w="12240" w:h="15840"/>
      <w:pgMar w:top="116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10" w:rsidRDefault="00033910" w:rsidP="00CC500A">
      <w:pPr>
        <w:spacing w:after="0" w:line="240" w:lineRule="auto"/>
      </w:pPr>
      <w:r>
        <w:separator/>
      </w:r>
    </w:p>
  </w:endnote>
  <w:endnote w:type="continuationSeparator" w:id="0">
    <w:p w:rsidR="00033910" w:rsidRDefault="00033910" w:rsidP="00CC5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13111"/>
      <w:docPartObj>
        <w:docPartGallery w:val="Page Numbers (Bottom of Page)"/>
        <w:docPartUnique/>
      </w:docPartObj>
    </w:sdtPr>
    <w:sdtEndPr>
      <w:rPr>
        <w:color w:val="808080" w:themeColor="background1" w:themeShade="80"/>
        <w:spacing w:val="60"/>
      </w:rPr>
    </w:sdtEndPr>
    <w:sdtContent>
      <w:p w:rsidR="00CC500A" w:rsidRDefault="00366A65">
        <w:pPr>
          <w:pStyle w:val="Footer"/>
          <w:pBdr>
            <w:top w:val="single" w:sz="4" w:space="1" w:color="D9D9D9" w:themeColor="background1" w:themeShade="D9"/>
          </w:pBdr>
          <w:jc w:val="right"/>
        </w:pPr>
        <w:r>
          <w:fldChar w:fldCharType="begin"/>
        </w:r>
        <w:r w:rsidR="00CC500A">
          <w:instrText xml:space="preserve"> PAGE   \* MERGEFORMAT </w:instrText>
        </w:r>
        <w:r>
          <w:fldChar w:fldCharType="separate"/>
        </w:r>
        <w:r w:rsidR="00254B7F">
          <w:rPr>
            <w:noProof/>
          </w:rPr>
          <w:t>1</w:t>
        </w:r>
        <w:r>
          <w:rPr>
            <w:noProof/>
          </w:rPr>
          <w:fldChar w:fldCharType="end"/>
        </w:r>
        <w:r w:rsidR="00CC500A">
          <w:t xml:space="preserve"> | </w:t>
        </w:r>
      </w:p>
    </w:sdtContent>
  </w:sdt>
  <w:p w:rsidR="00CC500A" w:rsidRDefault="00CC5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10" w:rsidRDefault="00033910" w:rsidP="00CC500A">
      <w:pPr>
        <w:spacing w:after="0" w:line="240" w:lineRule="auto"/>
      </w:pPr>
      <w:r>
        <w:separator/>
      </w:r>
    </w:p>
  </w:footnote>
  <w:footnote w:type="continuationSeparator" w:id="0">
    <w:p w:rsidR="00033910" w:rsidRDefault="00033910" w:rsidP="00CC50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7EF8"/>
    <w:rsid w:val="00007874"/>
    <w:rsid w:val="00033910"/>
    <w:rsid w:val="00077BB7"/>
    <w:rsid w:val="000E2800"/>
    <w:rsid w:val="0014613D"/>
    <w:rsid w:val="00254B7F"/>
    <w:rsid w:val="00272929"/>
    <w:rsid w:val="003648B2"/>
    <w:rsid w:val="00366A65"/>
    <w:rsid w:val="00416A34"/>
    <w:rsid w:val="005129CB"/>
    <w:rsid w:val="00547EF8"/>
    <w:rsid w:val="005B4603"/>
    <w:rsid w:val="005D4B53"/>
    <w:rsid w:val="006244AD"/>
    <w:rsid w:val="006E2454"/>
    <w:rsid w:val="00845043"/>
    <w:rsid w:val="008F7703"/>
    <w:rsid w:val="0098189C"/>
    <w:rsid w:val="00CC500A"/>
    <w:rsid w:val="00E82AB4"/>
    <w:rsid w:val="00EB5A81"/>
    <w:rsid w:val="00F24C0B"/>
    <w:rsid w:val="00F96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0A"/>
  </w:style>
  <w:style w:type="paragraph" w:styleId="Footer">
    <w:name w:val="footer"/>
    <w:basedOn w:val="Normal"/>
    <w:link w:val="FooterChar"/>
    <w:uiPriority w:val="99"/>
    <w:unhideWhenUsed/>
    <w:rsid w:val="00CC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0A"/>
  </w:style>
  <w:style w:type="paragraph" w:styleId="BalloonText">
    <w:name w:val="Balloon Text"/>
    <w:basedOn w:val="Normal"/>
    <w:link w:val="BalloonTextChar"/>
    <w:uiPriority w:val="99"/>
    <w:semiHidden/>
    <w:unhideWhenUsed/>
    <w:rsid w:val="00CC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0A"/>
  </w:style>
  <w:style w:type="paragraph" w:styleId="Footer">
    <w:name w:val="footer"/>
    <w:basedOn w:val="Normal"/>
    <w:link w:val="FooterChar"/>
    <w:uiPriority w:val="99"/>
    <w:unhideWhenUsed/>
    <w:rsid w:val="00CC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0A"/>
  </w:style>
  <w:style w:type="paragraph" w:styleId="BalloonText">
    <w:name w:val="Balloon Text"/>
    <w:basedOn w:val="Normal"/>
    <w:link w:val="BalloonTextChar"/>
    <w:uiPriority w:val="99"/>
    <w:semiHidden/>
    <w:unhideWhenUsed/>
    <w:rsid w:val="00CC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Mullen</dc:creator>
  <cp:lastModifiedBy>Dad</cp:lastModifiedBy>
  <cp:revision>2</cp:revision>
  <dcterms:created xsi:type="dcterms:W3CDTF">2016-09-07T01:23:00Z</dcterms:created>
  <dcterms:modified xsi:type="dcterms:W3CDTF">2016-09-07T01:23:00Z</dcterms:modified>
</cp:coreProperties>
</file>