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BE" w:rsidRDefault="00A956BE" w:rsidP="00F37821">
      <w:pPr>
        <w:rPr>
          <w:rFonts w:ascii="Arial Narrow" w:hAnsi="Arial Narrow"/>
          <w:b/>
          <w:sz w:val="24"/>
          <w:szCs w:val="24"/>
        </w:rPr>
      </w:pPr>
      <w:r w:rsidRPr="00A956BE">
        <w:rPr>
          <w:rFonts w:ascii="Arial Narrow" w:hAnsi="Arial Narrow"/>
          <w:b/>
          <w:sz w:val="24"/>
          <w:szCs w:val="24"/>
        </w:rPr>
        <w:t>Bureau of Healthy Homes</w:t>
      </w:r>
      <w:r w:rsidR="00F37821" w:rsidRPr="00A956BE">
        <w:rPr>
          <w:rFonts w:ascii="Arial Narrow" w:hAnsi="Arial Narrow"/>
          <w:b/>
          <w:sz w:val="24"/>
          <w:szCs w:val="24"/>
        </w:rPr>
        <w:t xml:space="preserve">    </w:t>
      </w:r>
    </w:p>
    <w:p w:rsidR="00A956BE" w:rsidRPr="00A956BE" w:rsidRDefault="00A956BE" w:rsidP="00F37821">
      <w:pPr>
        <w:rPr>
          <w:rFonts w:ascii="Arial Narrow" w:hAnsi="Arial Narrow"/>
          <w:i/>
          <w:sz w:val="24"/>
          <w:szCs w:val="24"/>
        </w:rPr>
      </w:pPr>
      <w:r>
        <w:rPr>
          <w:rFonts w:ascii="Arial Narrow" w:hAnsi="Arial Narrow"/>
          <w:i/>
          <w:sz w:val="24"/>
          <w:szCs w:val="24"/>
        </w:rPr>
        <w:t>Childhood Lead Poisoning Prevention Program</w:t>
      </w:r>
      <w:r w:rsidR="00D857C2">
        <w:rPr>
          <w:rFonts w:ascii="Arial Narrow" w:hAnsi="Arial Narrow"/>
          <w:i/>
          <w:sz w:val="24"/>
          <w:szCs w:val="24"/>
        </w:rPr>
        <w:t xml:space="preserve"> (CLPPP)</w:t>
      </w:r>
    </w:p>
    <w:p w:rsidR="00F37821" w:rsidRPr="00A956BE" w:rsidRDefault="00F37821" w:rsidP="00F37821">
      <w:pPr>
        <w:rPr>
          <w:rFonts w:ascii="Arial Narrow" w:hAnsi="Arial Narrow"/>
          <w:sz w:val="24"/>
          <w:szCs w:val="24"/>
        </w:rPr>
      </w:pPr>
      <w:r w:rsidRPr="00A956BE">
        <w:rPr>
          <w:rFonts w:ascii="Arial Narrow" w:hAnsi="Arial Narrow"/>
          <w:sz w:val="24"/>
          <w:szCs w:val="24"/>
        </w:rPr>
        <w:t xml:space="preserve">    The City of Jersey City remains active in providing services to children and families being affected by lead hazards.  The primary source of lead poisoning in Jersey City is lead unsafe housing as Jersey City is very densely populated and contains old housing stock that is pre-1950.  The majority of children affected are from minority populations and on the lower scales of the socioeconomic ladder.  Many lack poor family support systems and insufficient skills to cope with lead burden children.  The diverse immigrant population continues to expand and bring with them many challenges such as language barriers and cultural and religious beliefs that impose in the care and possibly result in elevated blood lead levels.  Additionally, there are numerous sources of lead identified on a regular basis being used by the migrating population such as seasonings, make-up, jewelry, and clothing, to name a few, that contain unacceptable levels of lead.</w:t>
      </w:r>
    </w:p>
    <w:p w:rsidR="00F37821" w:rsidRPr="00A956BE" w:rsidRDefault="00F37821" w:rsidP="00F37821">
      <w:pPr>
        <w:rPr>
          <w:rFonts w:ascii="Arial Narrow" w:hAnsi="Arial Narrow"/>
          <w:sz w:val="24"/>
          <w:szCs w:val="24"/>
        </w:rPr>
      </w:pPr>
      <w:r w:rsidRPr="00A956BE">
        <w:rPr>
          <w:rFonts w:ascii="Arial Narrow" w:hAnsi="Arial Narrow"/>
          <w:sz w:val="24"/>
          <w:szCs w:val="24"/>
        </w:rPr>
        <w:t>Furthermore, the lack of knowledge and compliance among primary healthcare providers about lead burden children poses more challenges for case management and environmental interventions.  Much more education needs to be geared to primary and other health care providers if any headway is going to be made in lowering blood lead levels.</w:t>
      </w:r>
    </w:p>
    <w:p w:rsidR="00F37821" w:rsidRPr="00A956BE" w:rsidRDefault="00F37821" w:rsidP="00F37821">
      <w:pPr>
        <w:rPr>
          <w:rFonts w:ascii="Arial Narrow" w:hAnsi="Arial Narrow"/>
          <w:sz w:val="24"/>
          <w:szCs w:val="24"/>
        </w:rPr>
      </w:pPr>
      <w:r w:rsidRPr="00A956BE">
        <w:rPr>
          <w:rFonts w:ascii="Arial Narrow" w:hAnsi="Arial Narrow"/>
          <w:sz w:val="24"/>
          <w:szCs w:val="24"/>
        </w:rPr>
        <w:t xml:space="preserve">Since lead is everywhere in the environment, lead poisoning will continue to harm our children.  It is imperative that Jersey City continues to have a Lead Poisoning Prevention </w:t>
      </w:r>
      <w:r w:rsidR="00171F22" w:rsidRPr="00A956BE">
        <w:rPr>
          <w:rFonts w:ascii="Arial Narrow" w:hAnsi="Arial Narrow"/>
          <w:sz w:val="24"/>
          <w:szCs w:val="24"/>
        </w:rPr>
        <w:t>Program;</w:t>
      </w:r>
      <w:r w:rsidRPr="00A956BE">
        <w:rPr>
          <w:rFonts w:ascii="Arial Narrow" w:hAnsi="Arial Narrow"/>
          <w:sz w:val="24"/>
          <w:szCs w:val="24"/>
        </w:rPr>
        <w:t xml:space="preserve"> it is only through programs like this, that some control of lead poisoning and lead hazards can be identified and addressed.</w:t>
      </w:r>
    </w:p>
    <w:p w:rsidR="00F37821" w:rsidRPr="00A956BE" w:rsidRDefault="00F37821" w:rsidP="00F37821">
      <w:pPr>
        <w:rPr>
          <w:rFonts w:ascii="Arial Narrow" w:hAnsi="Arial Narrow"/>
          <w:sz w:val="24"/>
          <w:szCs w:val="24"/>
        </w:rPr>
      </w:pPr>
      <w:r w:rsidRPr="00A956BE">
        <w:rPr>
          <w:rFonts w:ascii="Arial Narrow" w:hAnsi="Arial Narrow"/>
          <w:sz w:val="24"/>
          <w:szCs w:val="24"/>
        </w:rPr>
        <w:t>1.  Increase lead-safe housing units.  Inadequate lead free-housing - most are older pre-1950 units containing lead paint, poorly maintained and many in deteriorating conditions, very densely populated, a large proportion of renters.</w:t>
      </w:r>
    </w:p>
    <w:p w:rsidR="00F37821" w:rsidRPr="00A956BE" w:rsidRDefault="00171F22" w:rsidP="00F37821">
      <w:pPr>
        <w:rPr>
          <w:rFonts w:ascii="Arial Narrow" w:hAnsi="Arial Narrow"/>
          <w:sz w:val="24"/>
          <w:szCs w:val="24"/>
        </w:rPr>
      </w:pPr>
      <w:r w:rsidRPr="00A956BE">
        <w:rPr>
          <w:rFonts w:ascii="Arial Narrow" w:hAnsi="Arial Narrow"/>
          <w:sz w:val="24"/>
          <w:szCs w:val="24"/>
        </w:rPr>
        <w:t>Houses:</w:t>
      </w:r>
      <w:r w:rsidR="00F37821" w:rsidRPr="00A956BE">
        <w:rPr>
          <w:rFonts w:ascii="Arial Narrow" w:hAnsi="Arial Narrow"/>
          <w:sz w:val="24"/>
          <w:szCs w:val="24"/>
        </w:rPr>
        <w:t xml:space="preserve"> 108,720 </w:t>
      </w:r>
      <w:r w:rsidRPr="00A956BE">
        <w:rPr>
          <w:rFonts w:ascii="Arial Narrow" w:hAnsi="Arial Narrow"/>
          <w:sz w:val="24"/>
          <w:szCs w:val="24"/>
        </w:rPr>
        <w:t>(96,859</w:t>
      </w:r>
      <w:r w:rsidR="00F37821" w:rsidRPr="00A956BE">
        <w:rPr>
          <w:rFonts w:ascii="Arial Narrow" w:hAnsi="Arial Narrow"/>
          <w:sz w:val="24"/>
          <w:szCs w:val="24"/>
        </w:rPr>
        <w:t xml:space="preserve"> occupied: 28,597 owner </w:t>
      </w:r>
      <w:r w:rsidR="004C4081" w:rsidRPr="00A956BE">
        <w:rPr>
          <w:rFonts w:ascii="Arial Narrow" w:hAnsi="Arial Narrow"/>
          <w:sz w:val="24"/>
          <w:szCs w:val="24"/>
        </w:rPr>
        <w:t>occupied,</w:t>
      </w:r>
      <w:r w:rsidR="00F37821" w:rsidRPr="00A956BE">
        <w:rPr>
          <w:rFonts w:ascii="Arial Narrow" w:hAnsi="Arial Narrow"/>
          <w:sz w:val="24"/>
          <w:szCs w:val="24"/>
        </w:rPr>
        <w:t xml:space="preserve"> 68,262 renter occupied)</w:t>
      </w:r>
    </w:p>
    <w:p w:rsidR="00F37821" w:rsidRPr="00A956BE" w:rsidRDefault="00F37821" w:rsidP="00F37821">
      <w:pPr>
        <w:rPr>
          <w:rFonts w:ascii="Arial Narrow" w:hAnsi="Arial Narrow"/>
          <w:sz w:val="24"/>
          <w:szCs w:val="24"/>
        </w:rPr>
      </w:pPr>
      <w:r w:rsidRPr="00A956BE">
        <w:rPr>
          <w:rFonts w:ascii="Arial Narrow" w:hAnsi="Arial Narrow"/>
          <w:sz w:val="24"/>
          <w:szCs w:val="24"/>
        </w:rPr>
        <w:t>% of renters here: 70.5%</w:t>
      </w:r>
    </w:p>
    <w:p w:rsidR="00F37821" w:rsidRPr="00A956BE" w:rsidRDefault="00F37821" w:rsidP="00F37821">
      <w:pPr>
        <w:rPr>
          <w:rFonts w:ascii="Arial Narrow" w:hAnsi="Arial Narrow"/>
          <w:sz w:val="24"/>
          <w:szCs w:val="24"/>
        </w:rPr>
      </w:pPr>
      <w:r w:rsidRPr="00A956BE">
        <w:rPr>
          <w:rFonts w:ascii="Arial Narrow" w:hAnsi="Arial Narrow"/>
          <w:sz w:val="24"/>
          <w:szCs w:val="24"/>
        </w:rPr>
        <w:t>State: 34.6%</w:t>
      </w:r>
    </w:p>
    <w:p w:rsidR="00F37821" w:rsidRPr="00A956BE" w:rsidRDefault="00F37821" w:rsidP="00F37821">
      <w:pPr>
        <w:rPr>
          <w:rFonts w:ascii="Arial Narrow" w:hAnsi="Arial Narrow"/>
          <w:sz w:val="24"/>
          <w:szCs w:val="24"/>
        </w:rPr>
      </w:pPr>
      <w:r w:rsidRPr="00A956BE">
        <w:rPr>
          <w:rFonts w:ascii="Arial Narrow" w:hAnsi="Arial Narrow"/>
          <w:sz w:val="24"/>
          <w:szCs w:val="24"/>
        </w:rPr>
        <w:t xml:space="preserve">Population and Housing Density: According to the population census 2010, Jersey City has a population density of 16,736.6 per square mile (6,462.0 /km2). And there are 108,720 housing units at an average density of 7,349.1 per square mile (2,837.5 /km2). </w:t>
      </w:r>
    </w:p>
    <w:p w:rsidR="00F37821" w:rsidRPr="00A956BE" w:rsidRDefault="00F37821" w:rsidP="00F37821">
      <w:pPr>
        <w:rPr>
          <w:rFonts w:ascii="Arial Narrow" w:hAnsi="Arial Narrow"/>
          <w:sz w:val="24"/>
          <w:szCs w:val="24"/>
        </w:rPr>
      </w:pPr>
      <w:r w:rsidRPr="00A956BE">
        <w:rPr>
          <w:rFonts w:ascii="Arial Narrow" w:hAnsi="Arial Narrow"/>
          <w:sz w:val="24"/>
          <w:szCs w:val="24"/>
        </w:rPr>
        <w:t xml:space="preserve">2. A Large percentage of Hispanic and black populations accounting for over 50% of the population in the lower socioeconomic status. </w:t>
      </w:r>
    </w:p>
    <w:p w:rsidR="00F37821" w:rsidRPr="00A956BE" w:rsidRDefault="00171F22" w:rsidP="00F37821">
      <w:pPr>
        <w:rPr>
          <w:rFonts w:ascii="Arial Narrow" w:hAnsi="Arial Narrow"/>
          <w:sz w:val="24"/>
          <w:szCs w:val="24"/>
        </w:rPr>
      </w:pPr>
      <w:r w:rsidRPr="00A956BE">
        <w:rPr>
          <w:rFonts w:ascii="Arial Narrow" w:hAnsi="Arial Narrow"/>
          <w:sz w:val="24"/>
          <w:szCs w:val="24"/>
        </w:rPr>
        <w:t>Estimated median</w:t>
      </w:r>
      <w:r w:rsidR="00F37821" w:rsidRPr="00A956BE">
        <w:rPr>
          <w:rFonts w:ascii="Arial Narrow" w:hAnsi="Arial Narrow"/>
          <w:sz w:val="24"/>
          <w:szCs w:val="24"/>
        </w:rPr>
        <w:t xml:space="preserve"> household income for 2012: $58,308 </w:t>
      </w:r>
      <w:r w:rsidRPr="00A956BE">
        <w:rPr>
          <w:rFonts w:ascii="Arial Narrow" w:hAnsi="Arial Narrow"/>
          <w:sz w:val="24"/>
          <w:szCs w:val="24"/>
        </w:rPr>
        <w:t>(it</w:t>
      </w:r>
      <w:r w:rsidR="00F37821" w:rsidRPr="00A956BE">
        <w:rPr>
          <w:rFonts w:ascii="Arial Narrow" w:hAnsi="Arial Narrow"/>
          <w:sz w:val="24"/>
          <w:szCs w:val="24"/>
        </w:rPr>
        <w:t xml:space="preserve"> was $37, 862 in 2000)</w:t>
      </w:r>
    </w:p>
    <w:p w:rsidR="00F37821" w:rsidRPr="00A956BE" w:rsidRDefault="00F37821" w:rsidP="00F37821">
      <w:pPr>
        <w:rPr>
          <w:rFonts w:ascii="Arial Narrow" w:hAnsi="Arial Narrow"/>
          <w:sz w:val="24"/>
          <w:szCs w:val="24"/>
        </w:rPr>
      </w:pPr>
      <w:r w:rsidRPr="00A956BE">
        <w:rPr>
          <w:rFonts w:ascii="Arial Narrow" w:hAnsi="Arial Narrow"/>
          <w:sz w:val="24"/>
          <w:szCs w:val="24"/>
        </w:rPr>
        <w:t xml:space="preserve"> Jersey City: $58,308</w:t>
      </w:r>
    </w:p>
    <w:p w:rsidR="00F37821" w:rsidRPr="00A956BE" w:rsidRDefault="00F37821" w:rsidP="00F37821">
      <w:pPr>
        <w:rPr>
          <w:rFonts w:ascii="Arial Narrow" w:hAnsi="Arial Narrow"/>
          <w:sz w:val="24"/>
          <w:szCs w:val="24"/>
        </w:rPr>
      </w:pPr>
      <w:r w:rsidRPr="00A956BE">
        <w:rPr>
          <w:rFonts w:ascii="Arial Narrow" w:hAnsi="Arial Narrow"/>
          <w:sz w:val="24"/>
          <w:szCs w:val="24"/>
        </w:rPr>
        <w:t>New Jersey: $71,637</w:t>
      </w:r>
    </w:p>
    <w:p w:rsidR="00F37821" w:rsidRPr="00A956BE" w:rsidRDefault="00F37821" w:rsidP="00F37821">
      <w:pPr>
        <w:rPr>
          <w:rFonts w:ascii="Arial Narrow" w:hAnsi="Arial Narrow"/>
          <w:sz w:val="24"/>
          <w:szCs w:val="24"/>
        </w:rPr>
      </w:pPr>
    </w:p>
    <w:p w:rsidR="00F37821" w:rsidRPr="00A956BE" w:rsidRDefault="00F37821" w:rsidP="00F37821">
      <w:pPr>
        <w:rPr>
          <w:rFonts w:ascii="Arial Narrow" w:hAnsi="Arial Narrow"/>
          <w:sz w:val="24"/>
          <w:szCs w:val="24"/>
        </w:rPr>
      </w:pPr>
      <w:r w:rsidRPr="00A956BE">
        <w:rPr>
          <w:rFonts w:ascii="Arial Narrow" w:hAnsi="Arial Narrow"/>
          <w:b/>
          <w:sz w:val="24"/>
          <w:szCs w:val="24"/>
        </w:rPr>
        <w:t>Races in Jersey City</w:t>
      </w:r>
      <w:r w:rsidRPr="00A956BE">
        <w:rPr>
          <w:rFonts w:ascii="Arial Narrow" w:hAnsi="Arial Narrow"/>
          <w:sz w:val="24"/>
          <w:szCs w:val="24"/>
        </w:rPr>
        <w:t>:</w:t>
      </w:r>
    </w:p>
    <w:p w:rsidR="00F37821" w:rsidRPr="00A956BE" w:rsidRDefault="00F37821" w:rsidP="00F37821">
      <w:pPr>
        <w:rPr>
          <w:rFonts w:ascii="Arial Narrow" w:hAnsi="Arial Narrow"/>
          <w:sz w:val="24"/>
          <w:szCs w:val="24"/>
        </w:rPr>
      </w:pPr>
      <w:r w:rsidRPr="00A956BE">
        <w:rPr>
          <w:rFonts w:ascii="Arial Narrow" w:hAnsi="Arial Narrow"/>
          <w:sz w:val="24"/>
          <w:szCs w:val="24"/>
        </w:rPr>
        <w:t>. Black (25.8%)</w:t>
      </w:r>
    </w:p>
    <w:p w:rsidR="00F37821" w:rsidRPr="00A956BE" w:rsidRDefault="00F37821" w:rsidP="00F37821">
      <w:pPr>
        <w:rPr>
          <w:rFonts w:ascii="Arial Narrow" w:hAnsi="Arial Narrow"/>
          <w:sz w:val="24"/>
          <w:szCs w:val="24"/>
        </w:rPr>
      </w:pPr>
      <w:r w:rsidRPr="00A956BE">
        <w:rPr>
          <w:rFonts w:ascii="Arial Narrow" w:hAnsi="Arial Narrow"/>
          <w:sz w:val="24"/>
          <w:szCs w:val="24"/>
        </w:rPr>
        <w:t>. Hispanic (27.6%)</w:t>
      </w:r>
    </w:p>
    <w:p w:rsidR="00F37821" w:rsidRPr="00A956BE" w:rsidRDefault="00F37821" w:rsidP="00F37821">
      <w:pPr>
        <w:rPr>
          <w:rFonts w:ascii="Arial Narrow" w:hAnsi="Arial Narrow"/>
          <w:sz w:val="24"/>
          <w:szCs w:val="24"/>
        </w:rPr>
      </w:pPr>
      <w:r w:rsidRPr="00A956BE">
        <w:rPr>
          <w:rFonts w:ascii="Arial Narrow" w:hAnsi="Arial Narrow"/>
          <w:sz w:val="24"/>
          <w:szCs w:val="24"/>
        </w:rPr>
        <w:t>.White Non – Hispanic (32.7%)</w:t>
      </w:r>
    </w:p>
    <w:p w:rsidR="00F37821" w:rsidRPr="00A956BE" w:rsidRDefault="00F37821" w:rsidP="00F37821">
      <w:pPr>
        <w:rPr>
          <w:rFonts w:ascii="Arial Narrow" w:hAnsi="Arial Narrow"/>
          <w:sz w:val="24"/>
          <w:szCs w:val="24"/>
        </w:rPr>
      </w:pPr>
      <w:r w:rsidRPr="00A956BE">
        <w:rPr>
          <w:rFonts w:ascii="Arial Narrow" w:hAnsi="Arial Narrow"/>
          <w:sz w:val="24"/>
          <w:szCs w:val="24"/>
        </w:rPr>
        <w:t>. Other Race (12.8%)</w:t>
      </w:r>
    </w:p>
    <w:p w:rsidR="00F37821" w:rsidRPr="00A956BE" w:rsidRDefault="00F37821" w:rsidP="00F37821">
      <w:pPr>
        <w:rPr>
          <w:rFonts w:ascii="Arial Narrow" w:hAnsi="Arial Narrow"/>
          <w:sz w:val="24"/>
          <w:szCs w:val="24"/>
        </w:rPr>
      </w:pPr>
      <w:r w:rsidRPr="00A956BE">
        <w:rPr>
          <w:rFonts w:ascii="Arial Narrow" w:hAnsi="Arial Narrow"/>
          <w:sz w:val="24"/>
          <w:szCs w:val="24"/>
        </w:rPr>
        <w:t>. Filipino (6.5%)</w:t>
      </w:r>
    </w:p>
    <w:p w:rsidR="00F37821" w:rsidRPr="00A956BE" w:rsidRDefault="00F37821" w:rsidP="00F37821">
      <w:pPr>
        <w:rPr>
          <w:rFonts w:ascii="Arial Narrow" w:hAnsi="Arial Narrow"/>
          <w:sz w:val="24"/>
          <w:szCs w:val="24"/>
        </w:rPr>
      </w:pPr>
      <w:r w:rsidRPr="00A956BE">
        <w:rPr>
          <w:rFonts w:ascii="Arial Narrow" w:hAnsi="Arial Narrow"/>
          <w:sz w:val="24"/>
          <w:szCs w:val="24"/>
        </w:rPr>
        <w:t>.Two or more races (4.4%)</w:t>
      </w:r>
    </w:p>
    <w:p w:rsidR="00F37821" w:rsidRPr="00A956BE" w:rsidRDefault="00F37821" w:rsidP="00F37821">
      <w:pPr>
        <w:rPr>
          <w:rFonts w:ascii="Arial Narrow" w:hAnsi="Arial Narrow"/>
          <w:sz w:val="24"/>
          <w:szCs w:val="24"/>
        </w:rPr>
      </w:pPr>
      <w:r w:rsidRPr="00A956BE">
        <w:rPr>
          <w:rFonts w:ascii="Arial Narrow" w:hAnsi="Arial Narrow"/>
          <w:sz w:val="24"/>
          <w:szCs w:val="24"/>
        </w:rPr>
        <w:t>. Asian Indian (10.9%)</w:t>
      </w:r>
    </w:p>
    <w:p w:rsidR="00F37821" w:rsidRPr="00A956BE" w:rsidRDefault="00F37821" w:rsidP="00F37821">
      <w:pPr>
        <w:rPr>
          <w:rFonts w:ascii="Arial Narrow" w:hAnsi="Arial Narrow"/>
          <w:sz w:val="24"/>
          <w:szCs w:val="24"/>
        </w:rPr>
      </w:pPr>
      <w:r w:rsidRPr="00A956BE">
        <w:rPr>
          <w:rFonts w:ascii="Arial Narrow" w:hAnsi="Arial Narrow"/>
          <w:sz w:val="24"/>
          <w:szCs w:val="24"/>
        </w:rPr>
        <w:t>. Chinese (2.3%)</w:t>
      </w:r>
    </w:p>
    <w:p w:rsidR="00F37821" w:rsidRPr="00A956BE" w:rsidRDefault="00F37821" w:rsidP="00F37821">
      <w:pPr>
        <w:rPr>
          <w:rFonts w:ascii="Arial Narrow" w:hAnsi="Arial Narrow"/>
          <w:sz w:val="24"/>
          <w:szCs w:val="24"/>
        </w:rPr>
      </w:pPr>
      <w:r w:rsidRPr="00A956BE">
        <w:rPr>
          <w:rFonts w:ascii="Arial Narrow" w:hAnsi="Arial Narrow"/>
          <w:sz w:val="24"/>
          <w:szCs w:val="24"/>
        </w:rPr>
        <w:t>. Other Asian (2.1%)</w:t>
      </w:r>
    </w:p>
    <w:p w:rsidR="00F37821" w:rsidRPr="00A956BE" w:rsidRDefault="00F37821" w:rsidP="00F37821">
      <w:pPr>
        <w:rPr>
          <w:rFonts w:ascii="Arial Narrow" w:hAnsi="Arial Narrow"/>
          <w:sz w:val="24"/>
          <w:szCs w:val="24"/>
        </w:rPr>
      </w:pPr>
      <w:r w:rsidRPr="00A956BE">
        <w:rPr>
          <w:rFonts w:ascii="Arial Narrow" w:hAnsi="Arial Narrow"/>
          <w:sz w:val="24"/>
          <w:szCs w:val="24"/>
        </w:rPr>
        <w:t xml:space="preserve">. American Indian (0.5%) </w:t>
      </w:r>
    </w:p>
    <w:p w:rsidR="00F37821" w:rsidRPr="00A956BE" w:rsidRDefault="00F37821" w:rsidP="00F37821">
      <w:pPr>
        <w:rPr>
          <w:rFonts w:ascii="Arial Narrow" w:hAnsi="Arial Narrow"/>
          <w:sz w:val="24"/>
          <w:szCs w:val="24"/>
        </w:rPr>
      </w:pPr>
      <w:r w:rsidRPr="00A956BE">
        <w:rPr>
          <w:rFonts w:ascii="Arial Narrow" w:hAnsi="Arial Narrow"/>
          <w:sz w:val="24"/>
          <w:szCs w:val="24"/>
        </w:rPr>
        <w:t>. Vietnamese (0.6%)</w:t>
      </w:r>
    </w:p>
    <w:p w:rsidR="00F37821" w:rsidRPr="00A956BE" w:rsidRDefault="00F37821" w:rsidP="00F37821">
      <w:pPr>
        <w:rPr>
          <w:rFonts w:ascii="Arial Narrow" w:hAnsi="Arial Narrow"/>
          <w:sz w:val="24"/>
          <w:szCs w:val="24"/>
        </w:rPr>
      </w:pPr>
      <w:r w:rsidRPr="00A956BE">
        <w:rPr>
          <w:rFonts w:ascii="Arial Narrow" w:hAnsi="Arial Narrow"/>
          <w:sz w:val="24"/>
          <w:szCs w:val="24"/>
        </w:rPr>
        <w:t>. Korean (0.9%)</w:t>
      </w:r>
    </w:p>
    <w:p w:rsidR="00F37821" w:rsidRPr="00A956BE" w:rsidRDefault="00F37821" w:rsidP="00F37821">
      <w:pPr>
        <w:rPr>
          <w:rFonts w:ascii="Arial Narrow" w:hAnsi="Arial Narrow"/>
          <w:sz w:val="24"/>
          <w:szCs w:val="24"/>
        </w:rPr>
      </w:pPr>
      <w:r w:rsidRPr="00A956BE">
        <w:rPr>
          <w:rFonts w:ascii="Arial Narrow" w:hAnsi="Arial Narrow"/>
          <w:sz w:val="24"/>
          <w:szCs w:val="24"/>
        </w:rPr>
        <w:t>3.  Large diverse growing immigration population from various countries with no health insurance and large barriers.</w:t>
      </w:r>
    </w:p>
    <w:p w:rsidR="00F37821" w:rsidRPr="00A956BE" w:rsidRDefault="00F37821" w:rsidP="00F37821">
      <w:pPr>
        <w:rPr>
          <w:rFonts w:ascii="Arial Narrow" w:hAnsi="Arial Narrow"/>
          <w:sz w:val="24"/>
          <w:szCs w:val="24"/>
        </w:rPr>
      </w:pPr>
      <w:r w:rsidRPr="00A956BE">
        <w:rPr>
          <w:rFonts w:ascii="Arial Narrow" w:hAnsi="Arial Narrow"/>
          <w:sz w:val="24"/>
          <w:szCs w:val="24"/>
        </w:rPr>
        <w:t>4.  Lack of knowledge among families of poisoned children.</w:t>
      </w:r>
    </w:p>
    <w:p w:rsidR="00B00AA0" w:rsidRPr="00A956BE" w:rsidRDefault="00F37821" w:rsidP="00F37821">
      <w:pPr>
        <w:rPr>
          <w:rFonts w:ascii="Arial Narrow" w:hAnsi="Arial Narrow"/>
          <w:sz w:val="24"/>
          <w:szCs w:val="24"/>
        </w:rPr>
      </w:pPr>
      <w:r w:rsidRPr="00A956BE">
        <w:rPr>
          <w:rFonts w:ascii="Arial Narrow" w:hAnsi="Arial Narrow"/>
          <w:sz w:val="24"/>
          <w:szCs w:val="24"/>
        </w:rPr>
        <w:t>5.  Pediatricians unwilling to do lead screening during the office visit therefore missed opportunities</w:t>
      </w:r>
    </w:p>
    <w:p w:rsidR="00171F22" w:rsidRPr="00A956BE" w:rsidRDefault="00171F22" w:rsidP="00F37821">
      <w:pPr>
        <w:rPr>
          <w:rFonts w:ascii="Arial Narrow" w:hAnsi="Arial Narrow"/>
          <w:sz w:val="24"/>
          <w:szCs w:val="24"/>
        </w:rPr>
      </w:pPr>
    </w:p>
    <w:p w:rsidR="00171F22" w:rsidRPr="00A956BE" w:rsidRDefault="004C4081" w:rsidP="00171F22">
      <w:pPr>
        <w:rPr>
          <w:rFonts w:ascii="Arial Narrow" w:hAnsi="Arial Narrow"/>
          <w:b/>
          <w:sz w:val="24"/>
          <w:szCs w:val="24"/>
        </w:rPr>
      </w:pPr>
      <w:r w:rsidRPr="00A956BE">
        <w:rPr>
          <w:rFonts w:ascii="Arial Narrow" w:hAnsi="Arial Narrow"/>
          <w:sz w:val="24"/>
          <w:szCs w:val="24"/>
        </w:rPr>
        <w:t xml:space="preserve">     </w:t>
      </w:r>
      <w:r w:rsidR="00A879E7" w:rsidRPr="00A956BE">
        <w:rPr>
          <w:rFonts w:ascii="Arial Narrow" w:hAnsi="Arial Narrow"/>
          <w:sz w:val="24"/>
          <w:szCs w:val="24"/>
        </w:rPr>
        <w:t>During Fiscal year 2017, Jersey City will</w:t>
      </w:r>
      <w:r w:rsidR="00171F22" w:rsidRPr="00A956BE">
        <w:rPr>
          <w:rFonts w:ascii="Arial Narrow" w:hAnsi="Arial Narrow"/>
          <w:sz w:val="24"/>
          <w:szCs w:val="24"/>
        </w:rPr>
        <w:t xml:space="preserve"> carry out a Childhood Lead Poisoning Prevention (CLPP) Program, which specifically includes the following components:  screening of </w:t>
      </w:r>
      <w:r w:rsidRPr="00A956BE">
        <w:rPr>
          <w:rFonts w:ascii="Arial Narrow" w:hAnsi="Arial Narrow"/>
          <w:sz w:val="24"/>
          <w:szCs w:val="24"/>
        </w:rPr>
        <w:t>uninsured,</w:t>
      </w:r>
      <w:r w:rsidR="00171F22" w:rsidRPr="00A956BE">
        <w:rPr>
          <w:rFonts w:ascii="Arial Narrow" w:hAnsi="Arial Narrow"/>
          <w:sz w:val="24"/>
          <w:szCs w:val="24"/>
        </w:rPr>
        <w:t xml:space="preserve"> nurse case management services, and environmental intervention services with NJAC 8:51A and 8:51.</w:t>
      </w:r>
      <w:r w:rsidRPr="00A956BE">
        <w:rPr>
          <w:rFonts w:ascii="Arial Narrow" w:hAnsi="Arial Narrow"/>
          <w:sz w:val="24"/>
          <w:szCs w:val="24"/>
        </w:rPr>
        <w:t xml:space="preserve"> </w:t>
      </w:r>
      <w:r w:rsidRPr="00A956BE">
        <w:rPr>
          <w:rFonts w:ascii="Arial Narrow" w:hAnsi="Arial Narrow"/>
          <w:b/>
          <w:sz w:val="24"/>
          <w:szCs w:val="24"/>
        </w:rPr>
        <w:t xml:space="preserve">(N.J.A.C. 8:51, also known as Chapter 13 of the State Sanitary Code, establishes a regulatory framework to fulfill the Department’s obligation to protect children from adverse health effects due to exposure to lead hazards in their homes and in the environment.  The standards set forth at N.J.A.C. 8:51 would also protect children that have been identified with elevated blood lead levels from further exposure to lead hazards.  The rules at N.J.A.C. 8:51 set forth standards for screening and case management, reporting and maintaining the confidentiality of reported information, environmental intervention based on blood lead level and age of the child, determining the existence of lead in dwelling units, </w:t>
      </w:r>
      <w:r w:rsidRPr="00A956BE">
        <w:rPr>
          <w:rFonts w:ascii="Arial Narrow" w:hAnsi="Arial Narrow"/>
          <w:b/>
          <w:sz w:val="24"/>
          <w:szCs w:val="24"/>
        </w:rPr>
        <w:lastRenderedPageBreak/>
        <w:t>the responsibility for and use of abatement and/or interim controls of lead hazards, re-inspection and approval of completion of abatement and/or interim controls of lead hazards, enforcement, and the use of the Childhood Lead Poisoning Information Database.)</w:t>
      </w:r>
    </w:p>
    <w:p w:rsidR="00171F22" w:rsidRPr="00A956BE" w:rsidRDefault="00171F22" w:rsidP="00171F22">
      <w:pPr>
        <w:rPr>
          <w:rFonts w:ascii="Arial Narrow" w:hAnsi="Arial Narrow"/>
          <w:sz w:val="24"/>
          <w:szCs w:val="24"/>
        </w:rPr>
      </w:pPr>
      <w:r w:rsidRPr="00A956BE">
        <w:rPr>
          <w:rFonts w:ascii="Arial Narrow" w:hAnsi="Arial Narrow"/>
          <w:sz w:val="24"/>
          <w:szCs w:val="24"/>
        </w:rPr>
        <w:t>1.  100% of children enrolled in CLPPP will receive case management service through a systematic process, documented assessment of health, nutrition, safety, growth and development, parent/child interactions and social support.</w:t>
      </w:r>
    </w:p>
    <w:p w:rsidR="00171F22" w:rsidRPr="00A956BE" w:rsidRDefault="00171F22" w:rsidP="00171F22">
      <w:pPr>
        <w:rPr>
          <w:rFonts w:ascii="Arial Narrow" w:hAnsi="Arial Narrow"/>
          <w:sz w:val="24"/>
          <w:szCs w:val="24"/>
        </w:rPr>
      </w:pPr>
      <w:r w:rsidRPr="00A956BE">
        <w:rPr>
          <w:rFonts w:ascii="Arial Narrow" w:hAnsi="Arial Narrow"/>
          <w:sz w:val="24"/>
          <w:szCs w:val="24"/>
        </w:rPr>
        <w:t>2. 90-5% children enrolled in CLPPP will be linked with primary care provider, enrolled in WIC and Medicaid, appropriately immunized according to age, evaluated for developmental delays and screened for lead.</w:t>
      </w:r>
    </w:p>
    <w:p w:rsidR="00171F22" w:rsidRPr="00A956BE" w:rsidRDefault="00171F22" w:rsidP="00171F22">
      <w:pPr>
        <w:rPr>
          <w:rFonts w:ascii="Arial Narrow" w:hAnsi="Arial Narrow"/>
          <w:sz w:val="24"/>
          <w:szCs w:val="24"/>
        </w:rPr>
      </w:pPr>
      <w:r w:rsidRPr="00A956BE">
        <w:rPr>
          <w:rFonts w:ascii="Arial Narrow" w:hAnsi="Arial Narrow"/>
          <w:sz w:val="24"/>
          <w:szCs w:val="24"/>
        </w:rPr>
        <w:t>3.  95% of elevated capillary blood test results will return within one week for a confirmatory venous blood lead test.</w:t>
      </w:r>
    </w:p>
    <w:p w:rsidR="00171F22" w:rsidRPr="00A956BE" w:rsidRDefault="00171F22" w:rsidP="00171F22">
      <w:pPr>
        <w:rPr>
          <w:rFonts w:ascii="Arial Narrow" w:hAnsi="Arial Narrow"/>
          <w:sz w:val="24"/>
          <w:szCs w:val="24"/>
        </w:rPr>
      </w:pPr>
      <w:r w:rsidRPr="00A956BE">
        <w:rPr>
          <w:rFonts w:ascii="Arial Narrow" w:hAnsi="Arial Narrow"/>
          <w:sz w:val="24"/>
          <w:szCs w:val="24"/>
        </w:rPr>
        <w:t>4.  100% of all children enrolled in CLPPP with BLL of &gt;15ug/dl or two persistent lead levels of 10-14ug/dl within one to three months will receive case management and environmental interventions.  All will receive an initial joint visit by nurse case manager and environmental regional health specialist.</w:t>
      </w:r>
    </w:p>
    <w:p w:rsidR="00171F22" w:rsidRPr="00A956BE" w:rsidRDefault="00171F22" w:rsidP="00171F22">
      <w:pPr>
        <w:rPr>
          <w:rFonts w:ascii="Arial Narrow" w:hAnsi="Arial Narrow"/>
          <w:sz w:val="24"/>
          <w:szCs w:val="24"/>
        </w:rPr>
      </w:pPr>
      <w:r w:rsidRPr="00A956BE">
        <w:rPr>
          <w:rFonts w:ascii="Arial Narrow" w:hAnsi="Arial Narrow"/>
          <w:sz w:val="24"/>
          <w:szCs w:val="24"/>
        </w:rPr>
        <w:t>5.  90% of all children receiving case management interventions will be current with medical follow-up.</w:t>
      </w:r>
    </w:p>
    <w:p w:rsidR="00171F22" w:rsidRPr="00A956BE" w:rsidRDefault="00171F22" w:rsidP="00171F22">
      <w:pPr>
        <w:rPr>
          <w:rFonts w:ascii="Arial Narrow" w:hAnsi="Arial Narrow"/>
          <w:sz w:val="24"/>
          <w:szCs w:val="24"/>
        </w:rPr>
      </w:pPr>
      <w:r w:rsidRPr="00A956BE">
        <w:rPr>
          <w:rFonts w:ascii="Arial Narrow" w:hAnsi="Arial Narrow"/>
          <w:sz w:val="24"/>
          <w:szCs w:val="24"/>
        </w:rPr>
        <w:t>6.  100% of all children enrolled in case management will have a written care plan and will be entered into the Welligent Leadtrax database.</w:t>
      </w:r>
    </w:p>
    <w:p w:rsidR="00171F22" w:rsidRPr="00A956BE" w:rsidRDefault="00171F22" w:rsidP="00171F22">
      <w:pPr>
        <w:rPr>
          <w:rFonts w:ascii="Arial Narrow" w:hAnsi="Arial Narrow"/>
          <w:sz w:val="24"/>
          <w:szCs w:val="24"/>
        </w:rPr>
      </w:pPr>
      <w:r w:rsidRPr="00A956BE">
        <w:rPr>
          <w:rFonts w:ascii="Arial Narrow" w:hAnsi="Arial Narrow"/>
          <w:sz w:val="24"/>
          <w:szCs w:val="24"/>
        </w:rPr>
        <w:t>7.  100% of all children tested with a capillary blood lead test of &lt;10mcg/</w:t>
      </w:r>
      <w:proofErr w:type="spellStart"/>
      <w:r w:rsidRPr="00A956BE">
        <w:rPr>
          <w:rFonts w:ascii="Arial Narrow" w:hAnsi="Arial Narrow"/>
          <w:sz w:val="24"/>
          <w:szCs w:val="24"/>
        </w:rPr>
        <w:t>dL</w:t>
      </w:r>
      <w:proofErr w:type="spellEnd"/>
      <w:r w:rsidRPr="00A956BE">
        <w:rPr>
          <w:rFonts w:ascii="Arial Narrow" w:hAnsi="Arial Narrow"/>
          <w:sz w:val="24"/>
          <w:szCs w:val="24"/>
        </w:rPr>
        <w:t xml:space="preserve"> will be mailed informational packets of lead hazards/risks and follow-up testing.</w:t>
      </w:r>
    </w:p>
    <w:p w:rsidR="00171F22" w:rsidRPr="00A956BE" w:rsidRDefault="00171F22" w:rsidP="00171F22">
      <w:pPr>
        <w:rPr>
          <w:rFonts w:ascii="Arial Narrow" w:hAnsi="Arial Narrow"/>
          <w:sz w:val="24"/>
          <w:szCs w:val="24"/>
        </w:rPr>
      </w:pPr>
      <w:r w:rsidRPr="00A956BE">
        <w:rPr>
          <w:rFonts w:ascii="Arial Narrow" w:hAnsi="Arial Narrow"/>
          <w:sz w:val="24"/>
          <w:szCs w:val="24"/>
        </w:rPr>
        <w:t>8.  Agrees to participate in CDC's Healthy Homes Initiative to identify and address multiple housing deficiencies that affect health and safety in the homes of lead-burdened children identified above.</w:t>
      </w:r>
    </w:p>
    <w:p w:rsidR="00171F22" w:rsidRPr="00A956BE" w:rsidRDefault="00171F22" w:rsidP="00171F22">
      <w:pPr>
        <w:rPr>
          <w:rFonts w:ascii="Arial Narrow" w:hAnsi="Arial Narrow"/>
          <w:sz w:val="24"/>
          <w:szCs w:val="24"/>
        </w:rPr>
      </w:pPr>
      <w:r w:rsidRPr="00A956BE">
        <w:rPr>
          <w:rFonts w:ascii="Arial Narrow" w:hAnsi="Arial Narrow"/>
          <w:sz w:val="24"/>
          <w:szCs w:val="24"/>
        </w:rPr>
        <w:t>9.  Formalized through interlocal agreements, agrees to accept requests and provide lead case management services for lead-burdened children from any municipality in Hudson County.</w:t>
      </w:r>
    </w:p>
    <w:p w:rsidR="00171F22" w:rsidRPr="00A956BE" w:rsidRDefault="00171F22" w:rsidP="00171F22">
      <w:pPr>
        <w:rPr>
          <w:rFonts w:ascii="Arial Narrow" w:hAnsi="Arial Narrow"/>
          <w:sz w:val="24"/>
          <w:szCs w:val="24"/>
        </w:rPr>
      </w:pPr>
      <w:r w:rsidRPr="00A956BE">
        <w:rPr>
          <w:rFonts w:ascii="Arial Narrow" w:hAnsi="Arial Narrow"/>
          <w:sz w:val="24"/>
          <w:szCs w:val="24"/>
        </w:rPr>
        <w:t>10.  Agrees to implement DHSS-approved targeted screening plan according to DHSS Targeted Screening Plan Guideline.</w:t>
      </w:r>
    </w:p>
    <w:p w:rsidR="00171F22" w:rsidRPr="00A956BE" w:rsidRDefault="00171F22" w:rsidP="00171F22">
      <w:pPr>
        <w:rPr>
          <w:rFonts w:ascii="Arial Narrow" w:hAnsi="Arial Narrow"/>
          <w:sz w:val="24"/>
          <w:szCs w:val="24"/>
        </w:rPr>
      </w:pPr>
      <w:r w:rsidRPr="00A956BE">
        <w:rPr>
          <w:rFonts w:ascii="Arial Narrow" w:hAnsi="Arial Narrow"/>
          <w:sz w:val="24"/>
          <w:szCs w:val="24"/>
        </w:rPr>
        <w:t xml:space="preserve">11.  Agrees to utilize the </w:t>
      </w:r>
      <w:proofErr w:type="spellStart"/>
      <w:r w:rsidRPr="00A956BE">
        <w:rPr>
          <w:rFonts w:ascii="Arial Narrow" w:hAnsi="Arial Narrow"/>
          <w:sz w:val="24"/>
          <w:szCs w:val="24"/>
        </w:rPr>
        <w:t>LeadTrax</w:t>
      </w:r>
      <w:proofErr w:type="spellEnd"/>
      <w:r w:rsidRPr="00A956BE">
        <w:rPr>
          <w:rFonts w:ascii="Arial Narrow" w:hAnsi="Arial Narrow"/>
          <w:sz w:val="24"/>
          <w:szCs w:val="24"/>
        </w:rPr>
        <w:t xml:space="preserve"> data system as required by NJDHSS for lead case management, environmental investigations and program evaluation.</w:t>
      </w:r>
    </w:p>
    <w:p w:rsidR="00171F22" w:rsidRPr="00A956BE" w:rsidRDefault="00171F22" w:rsidP="00171F22">
      <w:pPr>
        <w:rPr>
          <w:rFonts w:ascii="Arial Narrow" w:hAnsi="Arial Narrow"/>
          <w:sz w:val="24"/>
          <w:szCs w:val="24"/>
        </w:rPr>
      </w:pPr>
      <w:r w:rsidRPr="00A956BE">
        <w:rPr>
          <w:rFonts w:ascii="Arial Narrow" w:hAnsi="Arial Narrow"/>
          <w:sz w:val="24"/>
          <w:szCs w:val="24"/>
        </w:rPr>
        <w:t>12.  100% of all children enrolled in the CLPPP will receive an environmental inspection of the primary and any secondary residence as per the CLPPP protocols</w:t>
      </w:r>
    </w:p>
    <w:sectPr w:rsidR="00171F22" w:rsidRPr="00A956BE" w:rsidSect="00F83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bAwMDE2NjG0NLM0NzFU0lEKTi0uzszPAykwrAUAvi5LpSwAAAA="/>
  </w:docVars>
  <w:rsids>
    <w:rsidRoot w:val="00F37821"/>
    <w:rsid w:val="00171F22"/>
    <w:rsid w:val="002743B6"/>
    <w:rsid w:val="004C4081"/>
    <w:rsid w:val="00A879E7"/>
    <w:rsid w:val="00A956BE"/>
    <w:rsid w:val="00B00AA0"/>
    <w:rsid w:val="00D857C2"/>
    <w:rsid w:val="00F37821"/>
    <w:rsid w:val="00F83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cmays_jr</dc:creator>
  <cp:lastModifiedBy>cmays_jr</cp:lastModifiedBy>
  <cp:revision>2</cp:revision>
  <dcterms:created xsi:type="dcterms:W3CDTF">2017-06-01T15:25:00Z</dcterms:created>
  <dcterms:modified xsi:type="dcterms:W3CDTF">2017-06-01T16:20:00Z</dcterms:modified>
</cp:coreProperties>
</file>